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534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340" w:rsidRDefault="00D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октября 2004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340" w:rsidRDefault="00D4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22</w:t>
            </w:r>
          </w:p>
        </w:tc>
      </w:tr>
    </w:tbl>
    <w:p w:rsidR="00D45340" w:rsidRDefault="00D453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ДАГЕСТАН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НАЛОГЕ НА ИМУЩЕСТВО ОРГАНИЗАЦИЙ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Народным Собранием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сентября 2004 года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Республики Дагестан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06.10.2006 </w:t>
      </w:r>
      <w:hyperlink r:id="rId4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 xml:space="preserve">, от 03.10.2007 </w:t>
      </w:r>
      <w:hyperlink r:id="rId5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 xml:space="preserve"> (ред. 16.05.2008),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16.07.2008 </w:t>
      </w:r>
      <w:hyperlink r:id="rId6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07.10.2008 </w:t>
      </w:r>
      <w:hyperlink r:id="rId7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 xml:space="preserve">, от 04.12.2009 </w:t>
      </w:r>
      <w:hyperlink r:id="rId8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,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10.10.2011 </w:t>
      </w:r>
      <w:hyperlink r:id="rId9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 xml:space="preserve">, от 01.10.2012 </w:t>
      </w:r>
      <w:hyperlink r:id="rId10" w:history="1">
        <w:r>
          <w:rPr>
            <w:rFonts w:ascii="Calibri" w:hAnsi="Calibri" w:cs="Calibri"/>
            <w:color w:val="0000FF"/>
          </w:rPr>
          <w:t>N 52</w:t>
        </w:r>
      </w:hyperlink>
      <w:r>
        <w:rPr>
          <w:rFonts w:ascii="Calibri" w:hAnsi="Calibri" w:cs="Calibri"/>
        </w:rPr>
        <w:t xml:space="preserve">, от 02.11.2012 </w:t>
      </w:r>
      <w:hyperlink r:id="rId11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Общие положения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 на имущество организаций (далее - налог) устанавливается в соответствии с Налоговым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вводится на территории Республики Дагестан настоящим Законом.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 обязателен к уплате на территории Республики Дагестан.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2. Налоговая ставка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ставка устанавливается в размере 2,2 процента.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10.10.2011 N 60)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3. Налоговые льготы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Освобождаются от налогообложения: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06.10.2006 N 47)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по производству сельскохозяйственной продукции при условии, что выручка от указанного вида деятельности за прошедший год составляет не менее 70 процентов общей суммы выручки от реализации продукции (работ, услуг);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третий - пятый утратили силу с 1 января 2008 года.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03.10.2007 N 38;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- в отношении объектов, признаваемых памятниками истории и культуры в соответствии с законодательством Республики Дагестан;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06.10.2006 N 47)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- в отношении объектов (имущества), вводимых по инвестиционному проекту строительства новых гидроэлектростанций в течение пяти лет с момента ввода объекта в эксплуатацию;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06.10.2006 N 47;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16.07.2008 N 31)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товарищества собственников жилья;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16.07.2008 N 31;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07.10.2008 N 43)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 xml:space="preserve">организации, реализующие инвестиционные проекты, признанные приоритетными в установленном порядке, - в пределах срока окупаемости инвестиционного проекта, но не более пяти лет, в части имущества, создаваемого и (или) приобретаемого для реализации </w:t>
      </w:r>
      <w:r>
        <w:rPr>
          <w:rFonts w:ascii="Calibri" w:hAnsi="Calibri" w:cs="Calibri"/>
        </w:rPr>
        <w:lastRenderedPageBreak/>
        <w:t>инвестиционного проекта и не входившего в состав налогооблагаемой базы до начала реализации инвестиционного проекта;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07.10.2008 N 43;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04.12.2009 N 71)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народных художественных промыслов, зарегистрированные в местах традиционного бытования народных художественных промыслов;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10.10.2011 N 60)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организации - собственники газопроводов по газораспределительным сетям в отношении объектов, вводимых в эксплуатацию в рамках инвестиционных проектов, в части имущества, создаваемого и (или) приобретаемого для реализации инвестиционного проекта и не входящего в состав налогооблагаемой базы до начала реализации инвестиционного проекта, в течение пяти лет с момента ввода объекта в эксплуатацию;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01.10.2012 N 52)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базовые организации технопарков и резиденты технопарков - в отношении имущества, используемого для реализации задач технопарков, на срок действия статуса технопарка.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02.11.2012 N 73)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отношении объектов (имущества), введенных по инвестиционному проекту строительства новых гидроэлектростанций, устанавливается налоговая ставка в размере 1,1 процента на период с шестого по десятый год с момента ввода объекта в эксплуатацию.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введена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06.10.2006 N 47)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Налогоплательщики, указанные в </w:t>
      </w:r>
      <w:hyperlink w:anchor="Par41" w:history="1">
        <w:r>
          <w:rPr>
            <w:rFonts w:ascii="Calibri" w:hAnsi="Calibri" w:cs="Calibri"/>
            <w:color w:val="0000FF"/>
          </w:rPr>
          <w:t>абзацах девятом</w:t>
        </w:r>
      </w:hyperlink>
      <w:r>
        <w:rPr>
          <w:rFonts w:ascii="Calibri" w:hAnsi="Calibri" w:cs="Calibri"/>
        </w:rPr>
        <w:t xml:space="preserve">, </w:t>
      </w:r>
      <w:hyperlink w:anchor="Par45" w:history="1">
        <w:r>
          <w:rPr>
            <w:rFonts w:ascii="Calibri" w:hAnsi="Calibri" w:cs="Calibri"/>
            <w:color w:val="0000FF"/>
          </w:rPr>
          <w:t>одиннадцатом</w:t>
        </w:r>
      </w:hyperlink>
      <w:r>
        <w:rPr>
          <w:rFonts w:ascii="Calibri" w:hAnsi="Calibri" w:cs="Calibri"/>
        </w:rPr>
        <w:t xml:space="preserve"> и </w:t>
      </w:r>
      <w:hyperlink w:anchor="Par47" w:history="1">
        <w:r>
          <w:rPr>
            <w:rFonts w:ascii="Calibri" w:hAnsi="Calibri" w:cs="Calibri"/>
            <w:color w:val="0000FF"/>
          </w:rPr>
          <w:t>двенадцатом части 1</w:t>
        </w:r>
      </w:hyperlink>
      <w:r>
        <w:rPr>
          <w:rFonts w:ascii="Calibri" w:hAnsi="Calibri" w:cs="Calibri"/>
        </w:rPr>
        <w:t xml:space="preserve"> настоящей статьи, обязаны вести раздельный учет имущества, создаваемого и (или) приобретаемого для реализации инвестиционного проекта и не входящего в состав налогооблагаемой базы до начала реализации инвестиционного проекта, в течение установленного льготного периода. При отсутствии раздельного учета применяется порядок налогообложения имущества по ставке, установленной </w:t>
      </w:r>
      <w:hyperlink w:anchor="Par24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07.10.2008 N 43; в ред. Законов Республики Дагестан от 01.10.2012 </w:t>
      </w:r>
      <w:hyperlink r:id="rId28" w:history="1">
        <w:r>
          <w:rPr>
            <w:rFonts w:ascii="Calibri" w:hAnsi="Calibri" w:cs="Calibri"/>
            <w:color w:val="0000FF"/>
          </w:rPr>
          <w:t>N 52</w:t>
        </w:r>
      </w:hyperlink>
      <w:r>
        <w:rPr>
          <w:rFonts w:ascii="Calibri" w:hAnsi="Calibri" w:cs="Calibri"/>
        </w:rPr>
        <w:t xml:space="preserve">, от 02.11.2012 </w:t>
      </w:r>
      <w:hyperlink r:id="rId29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)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Статья 4. Порядок и сроки уплаты налога и авансовых платежей по налогу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Уплата налога производится в десятидневный срок со дня, установленного для представления налоговой декларации, с учетом ранее уплаченных в бюджет авансовых платежей.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Авансовые платежи по налогу по итогам отчетного периода уплачиваются не позднее 30 дней с даты окончания соответствующего отчетного периода.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Отчетными периодами признаются первый квартал, полугодие и девять месяцев календарного года.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освобождаются от авансовых платежей, если сумма налога за прошедший год составляет менее 10000 рублей.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Статья 5. Вступление в силу настоящего Закона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2005 года, но не ранее чем по истечении одного месяца со дня его официального опубликования.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Государственного Совета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М.МАГОМЕДОВ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Махачкала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октября 2004 г.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22</w:t>
      </w:r>
    </w:p>
    <w:p w:rsidR="00D45340" w:rsidRDefault="00D4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1AAE" w:rsidRDefault="00082C19">
      <w:bookmarkStart w:id="8" w:name="_GoBack"/>
      <w:bookmarkEnd w:id="8"/>
    </w:p>
    <w:sectPr w:rsidR="00A11AAE" w:rsidSect="0048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40"/>
    <w:rsid w:val="00082C19"/>
    <w:rsid w:val="003F11B3"/>
    <w:rsid w:val="00C52B5C"/>
    <w:rsid w:val="00D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4B4E-07D0-4410-98EE-E6A8AAB3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926132ADB63A61226F9F0DE25F8A9C4B04E9C1B639C7AFDD04BCB33ABDB7EA9037B46125B2929C5CB6R7Q4L" TargetMode="External"/><Relationship Id="rId13" Type="http://schemas.openxmlformats.org/officeDocument/2006/relationships/hyperlink" Target="consultantplus://offline/ref=77F7926132ADB63A61226F9F0DE25F8A9C4B04E9C1B238C3AFDD04BCB33ABDB7EA9037B46125B2929C5CB6R7Q5L" TargetMode="External"/><Relationship Id="rId18" Type="http://schemas.openxmlformats.org/officeDocument/2006/relationships/hyperlink" Target="consultantplus://offline/ref=77F7926132ADB63A61226F9F0DE25F8A9C4B04E9C8B137C7A2800EB4EA36BFB0E5CF20B32829B3929C5CRBQFL" TargetMode="External"/><Relationship Id="rId26" Type="http://schemas.openxmlformats.org/officeDocument/2006/relationships/hyperlink" Target="consultantplus://offline/ref=77F7926132ADB63A61226F9F0DE25F8A9C4B04E9C6B237CCA2800EB4EA36BFB0E5CF20B32829B3929C5DRBQ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F7926132ADB63A61226F9F0DE25F8A9C4B04E9C9B732CDA2800EB4EA36BFB0E5CF20B32829B3929C5DRBQ7L" TargetMode="External"/><Relationship Id="rId7" Type="http://schemas.openxmlformats.org/officeDocument/2006/relationships/hyperlink" Target="consultantplus://offline/ref=77F7926132ADB63A61226F9F0DE25F8A9C4B04E9C9B732CDA2800EB4EA36BFB0E5CF20B32829B3929C5CRBQEL" TargetMode="External"/><Relationship Id="rId12" Type="http://schemas.openxmlformats.org/officeDocument/2006/relationships/hyperlink" Target="consultantplus://offline/ref=77F7926132ADB63A612271921B8E02839B465FEDC8B33B93F5825FE1E433B7E0ADDF6EF525R2Q8L" TargetMode="External"/><Relationship Id="rId17" Type="http://schemas.openxmlformats.org/officeDocument/2006/relationships/hyperlink" Target="consultantplus://offline/ref=77F7926132ADB63A61226F9F0DE25F8A9C4B04E9C6B237CCA2800EB4EA36BFB0E5CF20B32829B3929C5CRBQFL" TargetMode="External"/><Relationship Id="rId25" Type="http://schemas.openxmlformats.org/officeDocument/2006/relationships/hyperlink" Target="consultantplus://offline/ref=77F7926132ADB63A61226F9F0DE25F8A9C4B04E9C1B130C1AEDD04BCB33ABDB7EA9037B46125B2929C5CB6R7Q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F7926132ADB63A61226F9F0DE25F8A9C4B04E9C6B237CCA2800EB4EA36BFB0E5CF20B32829B3929C5CRBQEL" TargetMode="External"/><Relationship Id="rId20" Type="http://schemas.openxmlformats.org/officeDocument/2006/relationships/hyperlink" Target="consultantplus://offline/ref=77F7926132ADB63A61226F9F0DE25F8A9C4B04E9C9B732CDA2800EB4EA36BFB0E5CF20B32829B3929C5DRBQ6L" TargetMode="External"/><Relationship Id="rId29" Type="http://schemas.openxmlformats.org/officeDocument/2006/relationships/hyperlink" Target="consultantplus://offline/ref=77F7926132ADB63A61226F9F0DE25F8A9C4B04E9C1B130C1AEDD04BCB33ABDB7EA9037B46125B2929C5CB7R7Q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7926132ADB63A61226F9F0DE25F8A9C4B04E9C8B137C7A2800EB4EA36BFB0E5CF20B32829B3929C5CRBQEL" TargetMode="External"/><Relationship Id="rId11" Type="http://schemas.openxmlformats.org/officeDocument/2006/relationships/hyperlink" Target="consultantplus://offline/ref=77F7926132ADB63A61226F9F0DE25F8A9C4B04E9C1B130C1AEDD04BCB33ABDB7EA9037B46125B2929C5CB6R7Q4L" TargetMode="External"/><Relationship Id="rId24" Type="http://schemas.openxmlformats.org/officeDocument/2006/relationships/hyperlink" Target="consultantplus://offline/ref=77F7926132ADB63A61226F9F0DE25F8A9C4B04E9C1B038C1AADD04BCB33ABDB7EA9037B46125B2929C5CB6R7Q5L" TargetMode="External"/><Relationship Id="rId5" Type="http://schemas.openxmlformats.org/officeDocument/2006/relationships/hyperlink" Target="consultantplus://offline/ref=77F7926132ADB63A61226F9F0DE25F8A9C4B04E9C8B032C1A2800EB4EA36BFB0E5CF20B32829B3929C5CRBQEL" TargetMode="External"/><Relationship Id="rId15" Type="http://schemas.openxmlformats.org/officeDocument/2006/relationships/hyperlink" Target="consultantplus://offline/ref=77F7926132ADB63A61226F9F0DE25F8A9C4B04E9C8B032C1A2800EB4EA36BFB0E5CF20B32829B3929C5DRBQ7L" TargetMode="External"/><Relationship Id="rId23" Type="http://schemas.openxmlformats.org/officeDocument/2006/relationships/hyperlink" Target="consultantplus://offline/ref=77F7926132ADB63A61226F9F0DE25F8A9C4B04E9C1B238C3AFDD04BCB33ABDB7EA9037B46125B2929C5CB7R7QCL" TargetMode="External"/><Relationship Id="rId28" Type="http://schemas.openxmlformats.org/officeDocument/2006/relationships/hyperlink" Target="consultantplus://offline/ref=77F7926132ADB63A61226F9F0DE25F8A9C4B04E9C1B038C1AADD04BCB33ABDB7EA9037B46125B2929C5CB7R7QDL" TargetMode="External"/><Relationship Id="rId10" Type="http://schemas.openxmlformats.org/officeDocument/2006/relationships/hyperlink" Target="consultantplus://offline/ref=77F7926132ADB63A61226F9F0DE25F8A9C4B04E9C1B038C1AADD04BCB33ABDB7EA9037B46125B2929C5CB6R7Q4L" TargetMode="External"/><Relationship Id="rId19" Type="http://schemas.openxmlformats.org/officeDocument/2006/relationships/hyperlink" Target="consultantplus://offline/ref=77F7926132ADB63A61226F9F0DE25F8A9C4B04E9C8B137C7A2800EB4EA36BFB0E5CF20B32829B3929C5DRBQ6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7F7926132ADB63A61226F9F0DE25F8A9C4B04E9C6B237CCA2800EB4EA36BFB0E5CF20B32829B3929C5CRBQ0L" TargetMode="External"/><Relationship Id="rId9" Type="http://schemas.openxmlformats.org/officeDocument/2006/relationships/hyperlink" Target="consultantplus://offline/ref=77F7926132ADB63A61226F9F0DE25F8A9C4B04E9C1B238C3AFDD04BCB33ABDB7EA9037B46125B2929C5CB6R7Q4L" TargetMode="External"/><Relationship Id="rId14" Type="http://schemas.openxmlformats.org/officeDocument/2006/relationships/hyperlink" Target="consultantplus://offline/ref=77F7926132ADB63A61226F9F0DE25F8A9C4B04E9C6B237CCA2800EB4EA36BFB0E5CF20B32829B3929C5CRBQ1L" TargetMode="External"/><Relationship Id="rId22" Type="http://schemas.openxmlformats.org/officeDocument/2006/relationships/hyperlink" Target="consultantplus://offline/ref=77F7926132ADB63A61226F9F0DE25F8A9C4B04E9C1B639C7AFDD04BCB33ABDB7EA9037B46125B2929C5CB6R7Q4L" TargetMode="External"/><Relationship Id="rId27" Type="http://schemas.openxmlformats.org/officeDocument/2006/relationships/hyperlink" Target="consultantplus://offline/ref=77F7926132ADB63A61226F9F0DE25F8A9C4B04E9C9B732CDA2800EB4EA36BFB0E5CF20B32829B3929C5DRBQ5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Аминова Фикретовна</dc:creator>
  <cp:keywords/>
  <dc:description/>
  <cp:lastModifiedBy>Александр Карапац</cp:lastModifiedBy>
  <cp:revision>2</cp:revision>
  <dcterms:created xsi:type="dcterms:W3CDTF">2014-08-29T13:37:00Z</dcterms:created>
  <dcterms:modified xsi:type="dcterms:W3CDTF">2014-08-29T13:37:00Z</dcterms:modified>
</cp:coreProperties>
</file>