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8B30B6" w:rsidTr="008B30B6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B30B6" w:rsidRDefault="008B30B6">
            <w:pPr>
              <w:pStyle w:val="ConsPlusNormal"/>
              <w:outlineLvl w:val="0"/>
            </w:pPr>
            <w:r>
              <w:t>8 декабря 2005 года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B30B6" w:rsidRDefault="008B30B6">
            <w:pPr>
              <w:pStyle w:val="ConsPlusNormal"/>
              <w:jc w:val="right"/>
              <w:outlineLvl w:val="0"/>
            </w:pPr>
            <w:r>
              <w:t>N 60</w:t>
            </w:r>
          </w:p>
        </w:tc>
      </w:tr>
    </w:tbl>
    <w:p w:rsidR="008B30B6" w:rsidRDefault="008B30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Title"/>
        <w:jc w:val="center"/>
      </w:pPr>
      <w:r>
        <w:t>РЕСПУБЛИКА ДАГЕСТАН</w:t>
      </w:r>
    </w:p>
    <w:p w:rsidR="008B30B6" w:rsidRDefault="008B30B6">
      <w:pPr>
        <w:pStyle w:val="ConsPlusTitle"/>
        <w:jc w:val="center"/>
      </w:pPr>
    </w:p>
    <w:p w:rsidR="008B30B6" w:rsidRDefault="008B30B6">
      <w:pPr>
        <w:pStyle w:val="ConsPlusTitle"/>
        <w:jc w:val="center"/>
      </w:pPr>
      <w:r>
        <w:t>ЗАКОН</w:t>
      </w:r>
    </w:p>
    <w:p w:rsidR="008B30B6" w:rsidRDefault="008B30B6">
      <w:pPr>
        <w:pStyle w:val="ConsPlusTitle"/>
        <w:jc w:val="center"/>
      </w:pPr>
    </w:p>
    <w:p w:rsidR="008B30B6" w:rsidRDefault="008B30B6">
      <w:pPr>
        <w:pStyle w:val="ConsPlusTitle"/>
        <w:jc w:val="center"/>
      </w:pPr>
      <w:r>
        <w:t>О РЕСПУБЛИКАНСКОМ ФОНДЕ ФИНАНСОВОЙ ПОДДЕРЖКИ</w:t>
      </w:r>
    </w:p>
    <w:p w:rsidR="008B30B6" w:rsidRDefault="008B30B6">
      <w:pPr>
        <w:pStyle w:val="ConsPlusTitle"/>
        <w:jc w:val="center"/>
      </w:pPr>
      <w:r>
        <w:t>ПОСЕЛЕНИЙ (ВНУТРИГОРОДСКИХ РАЙОНОВ) РЕСПУБЛИКИ ДАГЕСТАН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jc w:val="right"/>
      </w:pPr>
      <w:r>
        <w:t>Принят Народным Собранием</w:t>
      </w:r>
    </w:p>
    <w:p w:rsidR="008B30B6" w:rsidRDefault="008B30B6">
      <w:pPr>
        <w:pStyle w:val="ConsPlusNormal"/>
        <w:jc w:val="right"/>
      </w:pPr>
      <w:r>
        <w:t>Республики Дагестан</w:t>
      </w:r>
    </w:p>
    <w:p w:rsidR="008B30B6" w:rsidRDefault="008B30B6">
      <w:pPr>
        <w:pStyle w:val="ConsPlusNormal"/>
        <w:jc w:val="right"/>
      </w:pPr>
      <w:r>
        <w:t>30 ноября 2005 года</w:t>
      </w:r>
    </w:p>
    <w:p w:rsidR="008B30B6" w:rsidRDefault="008B30B6">
      <w:pPr>
        <w:pStyle w:val="ConsPlusNormal"/>
        <w:jc w:val="center"/>
      </w:pPr>
      <w:bookmarkStart w:id="0" w:name="_GoBack"/>
      <w:bookmarkEnd w:id="0"/>
      <w:r>
        <w:t xml:space="preserve"> (в ред. Законов Республики Дагестан</w:t>
      </w:r>
    </w:p>
    <w:p w:rsidR="008B30B6" w:rsidRDefault="008B30B6">
      <w:pPr>
        <w:pStyle w:val="ConsPlusNormal"/>
        <w:jc w:val="center"/>
      </w:pPr>
      <w:r>
        <w:t xml:space="preserve">от 08.12.2006 </w:t>
      </w:r>
      <w:hyperlink r:id="rId4" w:history="1">
        <w:r>
          <w:rPr>
            <w:color w:val="0000FF"/>
          </w:rPr>
          <w:t>N 65</w:t>
        </w:r>
      </w:hyperlink>
      <w:r>
        <w:t xml:space="preserve">, от 01.11.2007 </w:t>
      </w:r>
      <w:hyperlink r:id="rId5" w:history="1">
        <w:r>
          <w:rPr>
            <w:color w:val="0000FF"/>
          </w:rPr>
          <w:t>N 48</w:t>
        </w:r>
      </w:hyperlink>
      <w:r>
        <w:t>,</w:t>
      </w:r>
    </w:p>
    <w:p w:rsidR="008B30B6" w:rsidRDefault="008B30B6">
      <w:pPr>
        <w:pStyle w:val="ConsPlusNormal"/>
        <w:jc w:val="center"/>
      </w:pPr>
      <w:r>
        <w:t xml:space="preserve">от 29.12.2008 </w:t>
      </w:r>
      <w:hyperlink r:id="rId6" w:history="1">
        <w:r>
          <w:rPr>
            <w:color w:val="0000FF"/>
          </w:rPr>
          <w:t>N 68</w:t>
        </w:r>
      </w:hyperlink>
      <w:r>
        <w:t xml:space="preserve">, от 23.11.2010 </w:t>
      </w:r>
      <w:hyperlink r:id="rId7" w:history="1">
        <w:r>
          <w:rPr>
            <w:color w:val="0000FF"/>
          </w:rPr>
          <w:t>N 68</w:t>
        </w:r>
      </w:hyperlink>
      <w:r>
        <w:t>,</w:t>
      </w:r>
    </w:p>
    <w:p w:rsidR="008B30B6" w:rsidRDefault="008B30B6">
      <w:pPr>
        <w:pStyle w:val="ConsPlusNormal"/>
        <w:jc w:val="center"/>
      </w:pPr>
      <w:r>
        <w:t xml:space="preserve">от 27.12.2011 </w:t>
      </w:r>
      <w:hyperlink r:id="rId8" w:history="1">
        <w:r>
          <w:rPr>
            <w:color w:val="0000FF"/>
          </w:rPr>
          <w:t>N 87</w:t>
        </w:r>
      </w:hyperlink>
      <w:r>
        <w:t xml:space="preserve">, от 30.11.2015 </w:t>
      </w:r>
      <w:hyperlink r:id="rId9" w:history="1">
        <w:r>
          <w:rPr>
            <w:color w:val="0000FF"/>
          </w:rPr>
          <w:t>N 102</w:t>
        </w:r>
      </w:hyperlink>
      <w:r>
        <w:t>,</w:t>
      </w:r>
    </w:p>
    <w:p w:rsidR="008B30B6" w:rsidRDefault="008B30B6">
      <w:pPr>
        <w:pStyle w:val="ConsPlusNormal"/>
        <w:jc w:val="center"/>
      </w:pPr>
      <w:r>
        <w:t xml:space="preserve">от 29.12.2017 </w:t>
      </w:r>
      <w:hyperlink r:id="rId10" w:history="1">
        <w:r>
          <w:rPr>
            <w:color w:val="0000FF"/>
          </w:rPr>
          <w:t>N 111</w:t>
        </w:r>
      </w:hyperlink>
      <w:r>
        <w:t>)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 xml:space="preserve">Настоящий Закон </w:t>
      </w:r>
      <w:hyperlink r:id="rId11" w:history="1">
        <w:r>
          <w:rPr>
            <w:color w:val="0000FF"/>
          </w:rPr>
          <w:t>определяет</w:t>
        </w:r>
      </w:hyperlink>
      <w:r>
        <w:t xml:space="preserve"> порядок образования республиканского фонда финансовой поддержки поселений (внутригородских районов) Республики Дагестан (далее - фонд) и распределения дотаций на выравнивание уровня расчетной бюджетной обеспеченности поселений (внутригородских районов) из вышеназванного фонда.</w:t>
      </w:r>
    </w:p>
    <w:p w:rsidR="008B30B6" w:rsidRDefault="008B30B6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Республики Дагестан от 29.12.2017 N 111)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  <w:outlineLvl w:val="1"/>
      </w:pPr>
      <w:r>
        <w:t>Статья 1. Республиканский фонд финансовой поддержки поселений (внутригородских районов)</w:t>
      </w:r>
    </w:p>
    <w:p w:rsidR="008B30B6" w:rsidRDefault="008B30B6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Республики Дагестан от 29.12.2017 N 111)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>1. Фонд образуется в составе республиканского бюджета Республики Дагестан с целью выравнивания уровня бюджетной обеспеченности поселений (внутригородских районов) по исполнению своих полномочий в решении вопросов местного значения в пределах финансовой помощи, получаемой из федерального бюджета, налоговых и неналоговых доходов республиканского бюджета Республики Дагестан.</w:t>
      </w:r>
    </w:p>
    <w:p w:rsidR="008B30B6" w:rsidRDefault="008B30B6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Республики Дагестан от 29.12.2017 N 111)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2. Объем фонда утверждается законом о республиканском бюджете Республики Дагестан на очередной финансовый год.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 xml:space="preserve">3. Распределение и размер дотаций на выравнивание уровня бюджетной обеспеченности поселений (внутригородских районов) из фонда утверждаются законом о республиканском бюджете Республики Дагестан на очередной </w:t>
      </w:r>
      <w:r>
        <w:lastRenderedPageBreak/>
        <w:t>финансовый год.</w:t>
      </w:r>
    </w:p>
    <w:p w:rsidR="008B30B6" w:rsidRDefault="008B30B6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Закона</w:t>
        </w:r>
      </w:hyperlink>
      <w:r>
        <w:t xml:space="preserve"> Республики Дагестан от 29.12.2017 N 111)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 xml:space="preserve">Размер дотации поселению (внутригородскому району) из фонда исчисляется в соответствии с </w:t>
      </w:r>
      <w:hyperlink w:anchor="P91" w:history="1">
        <w:r>
          <w:rPr>
            <w:color w:val="0000FF"/>
          </w:rPr>
          <w:t>приложением</w:t>
        </w:r>
      </w:hyperlink>
      <w:r>
        <w:t xml:space="preserve"> к настоящему Закону.</w:t>
      </w:r>
    </w:p>
    <w:p w:rsidR="008B30B6" w:rsidRDefault="008B30B6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Закона</w:t>
        </w:r>
      </w:hyperlink>
      <w:r>
        <w:t xml:space="preserve"> Республики Дагестан от 29.12.2017 N 111)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  <w:outlineLvl w:val="1"/>
      </w:pPr>
      <w:r>
        <w:t>Статья 2. Дотация на выравнивание уровня бюджетной обеспеченности поселений (внутригородских районов)</w:t>
      </w:r>
    </w:p>
    <w:p w:rsidR="008B30B6" w:rsidRDefault="008B30B6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Республики Дагестан от 29.12.2017 N 111)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>1. Дотация на выравнивание расчетной бюджетной обеспеченности поселений (внутригородских районов) в соответствии с федеральным законодательством и законодательством Республики Дагестан может быть полностью или частично заменена дополнительными нормативами отчислений от налога на доходы физических лиц.</w:t>
      </w:r>
    </w:p>
    <w:p w:rsidR="008B30B6" w:rsidRDefault="008B30B6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Республики Дагестан от 29.12.2017 N 111)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Изменение дополнительных нормативов отчислений от налога на доходы физических лиц в бюджеты поселений (внутригородских районов) в течение финансового года не допускается.</w:t>
      </w:r>
    </w:p>
    <w:p w:rsidR="008B30B6" w:rsidRDefault="008B30B6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Республики Дагестан от 29.12.2017 N 111)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Средства, полученные поселением (внутригородским районом) по дополнительному нормативу отчислений от налога на доходы физических лиц сверх объема расчетной дотации, изъятию в республиканский бюджет Республики Дагестан и (или) учету при последующем распределении финансовой помощи не подлежат.</w:t>
      </w:r>
    </w:p>
    <w:p w:rsidR="008B30B6" w:rsidRDefault="008B30B6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Республики Дагестан от 29.12.2017 N 111)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Потери бюджета поселения (внутригородского района) в связи с получением средств по дополнительному нормативу отчислений от налога на доходы физических лиц в объеме ниже расчетной дотации, компенсации из республиканского бюджета Республики Дагестан и (или) учету при последующем распределении финансовой помощи не подлежат.</w:t>
      </w:r>
    </w:p>
    <w:p w:rsidR="008B30B6" w:rsidRDefault="008B30B6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Республики Дагестан от 29.12.2017 N 111)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2. Порядок финансирования дотаций, особенности перечисления и использования средств на выравнивание уровня расчетной бюджетной обеспеченности поселений (внутригородских районов) из фонда определяется Правительством Республики Дагестан.</w:t>
      </w:r>
    </w:p>
    <w:p w:rsidR="008B30B6" w:rsidRDefault="008B30B6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Республики Дагестан от 29.12.2017 N 111)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  <w:outlineLvl w:val="1"/>
      </w:pPr>
      <w:r>
        <w:t>Статья 3. Особенности расчета дотаций на выравнивание уровня бюджетной обеспеченности поселений (внутригородских районов)</w:t>
      </w:r>
    </w:p>
    <w:p w:rsidR="008B30B6" w:rsidRDefault="008B30B6">
      <w:pPr>
        <w:pStyle w:val="ConsPlusNormal"/>
        <w:jc w:val="both"/>
      </w:pPr>
      <w:r>
        <w:lastRenderedPageBreak/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Республики Дагестан от 29.12.2017 N 111)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>В объеме фонда могут быть выделены дотации, отражающие отдельные факторы и условия, учитываемые при определении уровня расчетной бюджетной обеспеченности поселений (внутригородских районов). Объем указанных дотаций не может превышать 5 процентов общего объема фонда.</w:t>
      </w:r>
    </w:p>
    <w:p w:rsidR="008B30B6" w:rsidRDefault="008B30B6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Республики Дагестан от 29.12.2017 N 111)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  <w:outlineLvl w:val="1"/>
      </w:pPr>
      <w:r>
        <w:t>Статья 4. Права органов государственной власти Республики Дагестан при предоставлении финансовой помощи бюджетам поселений (внутригородских районов)</w:t>
      </w:r>
    </w:p>
    <w:p w:rsidR="008B30B6" w:rsidRDefault="008B30B6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Республики Дагестан от 29.12.2017 N 111)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>Дотации из фонда, предусмотренные к перечислению в бюджеты поселений (внутригородских районов) в соответствии с настоящим Законом и законом о республиканском бюджете Республики Дагестан, предоставляются при условии соблюдения поселениями (внутригородскими районами) требований налогового и бюджетного законодательства.</w:t>
      </w:r>
    </w:p>
    <w:p w:rsidR="008B30B6" w:rsidRDefault="008B30B6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Закона</w:t>
        </w:r>
      </w:hyperlink>
      <w:r>
        <w:t xml:space="preserve"> Республики Дагестан от 29.12.2017 N 111)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В случае несоблюдения органами местного самоуправления поселений (внутригородских районов) налогового и бюджетного законодательства Правительство Республики Дагестан вправе приостанавливать или уменьшать финансирование дотаций из фонда, предусмотренное разделом "Межбюджетные трансферты" функциональной классификации расходов бюджетов Российской Федерации.</w:t>
      </w:r>
    </w:p>
    <w:p w:rsidR="008B30B6" w:rsidRDefault="008B30B6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Республики Дагестан от 29.12.2017 N 111)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  <w:outlineLvl w:val="1"/>
      </w:pPr>
      <w:r>
        <w:t>Статья 5. Заключительные и переходные положения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>1. В случае наделения органов местного самоуправления муниципальных районов (городского округа с внутригородским делением) полномочиями органов государственной власти Республики Дагестан по расчету и предоставлению дотаций поселениям (внутригородским районам) на выравнивание уровня бюджетной обеспеченности поселениям (внутригородским районам), входящим в состав муниципальных районов (городского округа с внутригородским делением), дотации из указанного фонда не предоставляются.</w:t>
      </w:r>
    </w:p>
    <w:p w:rsidR="008B30B6" w:rsidRDefault="008B30B6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Республики Дагестан от 29.12.2017 N 111)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2. Иные нормативные правовые акты Республики Дагестан, устанавливающие бюджетные правоотношения, регулируемые настоящим Законом, действуют в части, не противоречащей настоящему Закону.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  <w:outlineLvl w:val="1"/>
      </w:pPr>
      <w:r>
        <w:t>Статья 6. Вступление в силу настоящего Закона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>Настоящий Закон вступает в силу с 1 января 2006 года и вводится в действие ежегодно законом о республиканском бюджете Республики Дагестан на очередной финансовый год.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jc w:val="right"/>
      </w:pPr>
      <w:r>
        <w:t>Председатель Государственного Совета</w:t>
      </w:r>
    </w:p>
    <w:p w:rsidR="008B30B6" w:rsidRDefault="008B30B6">
      <w:pPr>
        <w:pStyle w:val="ConsPlusNormal"/>
        <w:jc w:val="right"/>
      </w:pPr>
      <w:r>
        <w:t>Республики Дагестан</w:t>
      </w:r>
    </w:p>
    <w:p w:rsidR="008B30B6" w:rsidRDefault="008B30B6">
      <w:pPr>
        <w:pStyle w:val="ConsPlusNormal"/>
        <w:jc w:val="right"/>
      </w:pPr>
      <w:r>
        <w:t>М.МАГОМЕДОВ</w:t>
      </w:r>
    </w:p>
    <w:p w:rsidR="008B30B6" w:rsidRDefault="008B30B6">
      <w:pPr>
        <w:pStyle w:val="ConsPlusNormal"/>
      </w:pPr>
      <w:r>
        <w:t>Махачкала</w:t>
      </w:r>
    </w:p>
    <w:p w:rsidR="008B30B6" w:rsidRDefault="008B30B6">
      <w:pPr>
        <w:pStyle w:val="ConsPlusNormal"/>
        <w:spacing w:before="280"/>
      </w:pPr>
      <w:r>
        <w:t>8 декабря 2005 года</w:t>
      </w:r>
    </w:p>
    <w:p w:rsidR="008B30B6" w:rsidRDefault="008B30B6">
      <w:pPr>
        <w:pStyle w:val="ConsPlusNormal"/>
        <w:spacing w:before="280"/>
      </w:pPr>
      <w:r>
        <w:t>N 60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jc w:val="right"/>
        <w:outlineLvl w:val="0"/>
      </w:pPr>
      <w:r>
        <w:t>Приложение</w:t>
      </w:r>
    </w:p>
    <w:p w:rsidR="008B30B6" w:rsidRDefault="008B30B6">
      <w:pPr>
        <w:pStyle w:val="ConsPlusNormal"/>
        <w:jc w:val="right"/>
      </w:pPr>
      <w:r>
        <w:t>к Закону Республики Дагестан</w:t>
      </w:r>
    </w:p>
    <w:p w:rsidR="008B30B6" w:rsidRDefault="008B30B6">
      <w:pPr>
        <w:pStyle w:val="ConsPlusNormal"/>
        <w:jc w:val="right"/>
      </w:pPr>
      <w:r>
        <w:t>"О республиканском фонде</w:t>
      </w:r>
    </w:p>
    <w:p w:rsidR="008B30B6" w:rsidRDefault="008B30B6">
      <w:pPr>
        <w:pStyle w:val="ConsPlusNormal"/>
        <w:jc w:val="right"/>
      </w:pPr>
      <w:r>
        <w:t>финансовой поддержки поселений</w:t>
      </w:r>
    </w:p>
    <w:p w:rsidR="008B30B6" w:rsidRDefault="008B30B6">
      <w:pPr>
        <w:pStyle w:val="ConsPlusNormal"/>
        <w:jc w:val="right"/>
      </w:pPr>
      <w:r>
        <w:t>Республики Дагестан"</w:t>
      </w:r>
    </w:p>
    <w:p w:rsidR="008B30B6" w:rsidRDefault="008B30B6">
      <w:pPr>
        <w:pStyle w:val="ConsPlusNormal"/>
        <w:jc w:val="right"/>
      </w:pPr>
      <w:r>
        <w:t>от 8 декабря 2005 г. N 80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Title"/>
        <w:jc w:val="center"/>
      </w:pPr>
      <w:bookmarkStart w:id="1" w:name="P91"/>
      <w:bookmarkEnd w:id="1"/>
      <w:r>
        <w:t>МЕТОДИКА</w:t>
      </w:r>
    </w:p>
    <w:p w:rsidR="008B30B6" w:rsidRDefault="008B30B6">
      <w:pPr>
        <w:pStyle w:val="ConsPlusTitle"/>
        <w:jc w:val="center"/>
      </w:pPr>
      <w:r>
        <w:t>РАСЧЕТА И ПРЕДОСТАВЛЕНИЯ ДОТАЦИЙ БЮДЖЕТАМ ПОСЕЛЕНИЙ</w:t>
      </w:r>
    </w:p>
    <w:p w:rsidR="008B30B6" w:rsidRDefault="008B30B6">
      <w:pPr>
        <w:pStyle w:val="ConsPlusTitle"/>
        <w:jc w:val="center"/>
      </w:pPr>
      <w:r>
        <w:t>ИЗ РЕСПУБЛИКАНСКОГО ФОНДА ФИНАНСОВОЙ ПОДДЕРЖКИ ПОСЕЛЕНИЙ</w:t>
      </w:r>
    </w:p>
    <w:p w:rsidR="008B30B6" w:rsidRDefault="008B30B6">
      <w:pPr>
        <w:pStyle w:val="ConsPlusNormal"/>
        <w:jc w:val="center"/>
      </w:pPr>
      <w:r>
        <w:t>Список изменяющих документов</w:t>
      </w:r>
    </w:p>
    <w:p w:rsidR="008B30B6" w:rsidRDefault="008B30B6">
      <w:pPr>
        <w:pStyle w:val="ConsPlusNormal"/>
        <w:jc w:val="center"/>
      </w:pPr>
      <w:r>
        <w:t>(в ред. Законов Республики Дагестан</w:t>
      </w:r>
    </w:p>
    <w:p w:rsidR="008B30B6" w:rsidRDefault="008B30B6">
      <w:pPr>
        <w:pStyle w:val="ConsPlusNormal"/>
        <w:jc w:val="center"/>
      </w:pPr>
      <w:r>
        <w:t xml:space="preserve">от 08.12.2006 </w:t>
      </w:r>
      <w:hyperlink r:id="rId29" w:history="1">
        <w:r>
          <w:rPr>
            <w:color w:val="0000FF"/>
          </w:rPr>
          <w:t>N 65</w:t>
        </w:r>
      </w:hyperlink>
      <w:r>
        <w:t xml:space="preserve">, от 01.11.2007 </w:t>
      </w:r>
      <w:hyperlink r:id="rId30" w:history="1">
        <w:r>
          <w:rPr>
            <w:color w:val="0000FF"/>
          </w:rPr>
          <w:t>N 48</w:t>
        </w:r>
      </w:hyperlink>
      <w:r>
        <w:t>,</w:t>
      </w:r>
    </w:p>
    <w:p w:rsidR="008B30B6" w:rsidRDefault="008B30B6">
      <w:pPr>
        <w:pStyle w:val="ConsPlusNormal"/>
        <w:jc w:val="center"/>
      </w:pPr>
      <w:r>
        <w:t xml:space="preserve">от 29.12.2008 </w:t>
      </w:r>
      <w:hyperlink r:id="rId31" w:history="1">
        <w:r>
          <w:rPr>
            <w:color w:val="0000FF"/>
          </w:rPr>
          <w:t>N 68</w:t>
        </w:r>
      </w:hyperlink>
      <w:r>
        <w:t xml:space="preserve">, от 23.11.2010 </w:t>
      </w:r>
      <w:hyperlink r:id="rId32" w:history="1">
        <w:r>
          <w:rPr>
            <w:color w:val="0000FF"/>
          </w:rPr>
          <w:t>N 68</w:t>
        </w:r>
      </w:hyperlink>
      <w:r>
        <w:t>,</w:t>
      </w:r>
    </w:p>
    <w:p w:rsidR="008B30B6" w:rsidRDefault="008B30B6">
      <w:pPr>
        <w:pStyle w:val="ConsPlusNormal"/>
        <w:jc w:val="center"/>
      </w:pPr>
      <w:r>
        <w:t xml:space="preserve">от 27.12.2011 </w:t>
      </w:r>
      <w:hyperlink r:id="rId33" w:history="1">
        <w:r>
          <w:rPr>
            <w:color w:val="0000FF"/>
          </w:rPr>
          <w:t>N 87</w:t>
        </w:r>
      </w:hyperlink>
      <w:r>
        <w:t xml:space="preserve">, от 30.11.2015 </w:t>
      </w:r>
      <w:hyperlink r:id="rId34" w:history="1">
        <w:r>
          <w:rPr>
            <w:color w:val="0000FF"/>
          </w:rPr>
          <w:t>N 102</w:t>
        </w:r>
      </w:hyperlink>
      <w:r>
        <w:t>,</w:t>
      </w:r>
    </w:p>
    <w:p w:rsidR="008B30B6" w:rsidRDefault="008B30B6">
      <w:pPr>
        <w:pStyle w:val="ConsPlusNormal"/>
        <w:jc w:val="center"/>
      </w:pPr>
      <w:r>
        <w:t xml:space="preserve">от 29.12.2017 </w:t>
      </w:r>
      <w:hyperlink r:id="rId35" w:history="1">
        <w:r>
          <w:rPr>
            <w:color w:val="0000FF"/>
          </w:rPr>
          <w:t>N 111</w:t>
        </w:r>
      </w:hyperlink>
      <w:r>
        <w:t>)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jc w:val="center"/>
        <w:outlineLvl w:val="1"/>
      </w:pPr>
      <w:r>
        <w:t>1. Общие положения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 xml:space="preserve">1.1. Настоящая методика разработана с учетом требований </w:t>
      </w:r>
      <w:hyperlink r:id="rId36" w:history="1">
        <w:r>
          <w:rPr>
            <w:color w:val="0000FF"/>
          </w:rPr>
          <w:t>налогового</w:t>
        </w:r>
      </w:hyperlink>
      <w:r>
        <w:t xml:space="preserve"> и </w:t>
      </w:r>
      <w:hyperlink r:id="rId37" w:history="1">
        <w:r>
          <w:rPr>
            <w:color w:val="0000FF"/>
          </w:rPr>
          <w:t>бюджетного</w:t>
        </w:r>
      </w:hyperlink>
      <w:r>
        <w:t xml:space="preserve"> законодательства Российской Федерации,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"Об общих принципах организации местного самоуправления в Российской Федерации" и </w:t>
      </w:r>
      <w:hyperlink r:id="rId39" w:history="1">
        <w:r>
          <w:rPr>
            <w:color w:val="0000FF"/>
          </w:rPr>
          <w:t>Закона</w:t>
        </w:r>
      </w:hyperlink>
      <w:r>
        <w:t xml:space="preserve"> Республики Дагестан "О местном самоуправлении в Республике Дагестан".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lastRenderedPageBreak/>
        <w:t>1.2. Объектом бюджетного выравнивания является бюджетная обеспеченность поселений.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1.3. В настоящей методике используются следующие понятия и определения: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бюджетная обеспеченность поселения - отношение индекса налогового потенциала к индексу бюджетных расходов поселения;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индекс налогового потенциала поселения - отношение налогового потенциала поселения в расчете на одного жителя к аналогичному показателю в среднем по всем поселениям;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налоговый потенциал поселения - оценка налоговых доходов, которые могут быть получены бюджетом поселения исходя из налоговых источников, закрепленных за этим поселением.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1.4. Индекс бюджетных расходов поселения показывает, насколько больше (меньше) средств бюджета поселения в расчете на душу населения по сравнению со средним по всем поселениям (по группам территорий) уровнем необходимо затратить для осуществления полномочий по решению вопросов местного значения поселения с учетом специфики социально-демографического состава обслуживаемого населения и иных объективных факторов, влияющих на стоимость предоставляемых бюджетных услуг в расчете на одного жителя.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 xml:space="preserve">1.5. Для применения усредненных коэффициентов, учитывающих особенности отдельных территорий, муниципальные районы с входящими в их состав поселениями и городские округа (далее - поселения) распределяются на группы территорий с одинаковыми условиями с учетом структуры населения, климатических, географических и </w:t>
      </w:r>
      <w:proofErr w:type="gramStart"/>
      <w:r>
        <w:t>иных объективных факторов</w:t>
      </w:r>
      <w:proofErr w:type="gramEnd"/>
      <w:r>
        <w:t xml:space="preserve"> и условий, влияющих на предоставление одного и того же объема бюджетных услуг в расчете на одного жителя, согласно следующему перечню: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>I группа - малонаселенные и приравненные к ним районы (городские округа)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Агульский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Докузпаринский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Кулинский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Курахский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Лакский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Ногайский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lastRenderedPageBreak/>
        <w:t>Рутульский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Цунтинский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Чародинский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Бежтинский</w:t>
      </w:r>
      <w:proofErr w:type="spellEnd"/>
      <w:r>
        <w:t xml:space="preserve"> участок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Городской округ "г. Южно-Сухокумск"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>II группа - высокогорные районы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Ахвахский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Ахтынский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Ботлихский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Гумбетовский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Дахадаевский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Тляратинский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Унцукульский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Хунзахский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Цумадинский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Шамильский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>III группа - горные районы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Акушинский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Гергебильский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Гунибский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Левашинский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Хивский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>IV группа - предгорные районы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Буйнакский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lastRenderedPageBreak/>
        <w:t>Казбековский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Кайтагский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Новолакский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Сергокалинский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Сулейман-</w:t>
      </w:r>
      <w:proofErr w:type="spellStart"/>
      <w:r>
        <w:t>Стальский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jc w:val="both"/>
      </w:pPr>
      <w:r>
        <w:t xml:space="preserve">(позиция введена </w:t>
      </w:r>
      <w:hyperlink r:id="rId40" w:history="1">
        <w:r>
          <w:rPr>
            <w:color w:val="0000FF"/>
          </w:rPr>
          <w:t>Законом</w:t>
        </w:r>
      </w:hyperlink>
      <w:r>
        <w:t xml:space="preserve"> Республики Дагестан от 29.12.2008 N 68)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Табасаранский муниципальный район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>V группа - низменные районы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Бабаюртовский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Дербентский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Карабудахкентский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Каякентский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Кизилюртовский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Кизлярский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Кумторкалинский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Магарамкентский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 xml:space="preserve">Исключено с 1 января 2009 года. - </w:t>
      </w:r>
      <w:hyperlink r:id="rId41" w:history="1">
        <w:r>
          <w:rPr>
            <w:color w:val="0000FF"/>
          </w:rPr>
          <w:t>Закон</w:t>
        </w:r>
      </w:hyperlink>
      <w:r>
        <w:t xml:space="preserve"> Республики Дагестан от 29.12.2008 N 68.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Тарумовский</w:t>
      </w:r>
      <w:proofErr w:type="spellEnd"/>
      <w:r>
        <w:t xml:space="preserve"> муниципальный район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Хасавюртовский муниципальный район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>VI группа - городские округа с развитой инфраструктурой и социально-экономическим положением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г. Махачкала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г. Дербент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г. Хасавюрт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lastRenderedPageBreak/>
        <w:t>VII группа - городские округа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г. Буйнакск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г. Каспийск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г. Кизляр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 xml:space="preserve">г. </w:t>
      </w:r>
      <w:proofErr w:type="spellStart"/>
      <w:r>
        <w:t>Кизилюрт</w:t>
      </w:r>
      <w:proofErr w:type="spellEnd"/>
    </w:p>
    <w:p w:rsidR="008B30B6" w:rsidRDefault="008B30B6">
      <w:pPr>
        <w:pStyle w:val="ConsPlusNormal"/>
        <w:spacing w:before="280"/>
        <w:ind w:firstLine="540"/>
        <w:jc w:val="both"/>
      </w:pPr>
      <w:r>
        <w:t>г. Избербаш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г. Дагестанские Огни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jc w:val="center"/>
        <w:outlineLvl w:val="1"/>
      </w:pPr>
      <w:r>
        <w:t>2. Расчет налогового потенциала по поселениям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>2.1. Расчетные налоговые доходы - налоговый потенциал, является оценкой доходов, которые могут быть собраны в бюджеты поселений из налоговых источников, закрепленных за бюджетами поселений.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Доходы поселений прогнозируются с помощью оценки налогового потенциала, учитывающего уровень и структуру экономического развития территории.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Налоговый потенциал оценивается по показателям, которые используются для оценки косвенной налоговой базы по отдельным налогам.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Для налога на доходы физических лиц в качестве такого показателя используются фонд оплаты труда, среднедушевые доходы населения; для земельного налога - кадастровая стоимость земли; для налога на имущество физических лиц - стоимость имущества физических лиц; для единого сельскохозяйственного налога - доходы, уменьшенные на величину расходов.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Для этих налогов налоговый потенциал оценивается путем умножения показателя налоговой базы на среднюю сложившуюся налоговую ставку.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2.2. Средняя сложившаяся налоговая ставка рассчитывается как среднее по всем поселениям соотношение между прогнозируемыми налоговыми сборами и налоговой базой данного налога.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2.3. Налоговый потенциал по каждому виду налогов определяется по следующей формуле: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proofErr w:type="spellStart"/>
      <w:r>
        <w:t>НП</w:t>
      </w:r>
      <w:r>
        <w:rPr>
          <w:vertAlign w:val="subscript"/>
        </w:rPr>
        <w:t>j</w:t>
      </w:r>
      <w:proofErr w:type="spellEnd"/>
      <w:r>
        <w:t xml:space="preserve"> = </w:t>
      </w:r>
      <w:proofErr w:type="spellStart"/>
      <w:r>
        <w:t>НБ</w:t>
      </w:r>
      <w:r>
        <w:rPr>
          <w:vertAlign w:val="subscript"/>
        </w:rPr>
        <w:t>i</w:t>
      </w:r>
      <w:proofErr w:type="spellEnd"/>
      <w:r>
        <w:t xml:space="preserve"> х ПД / НБ, где: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proofErr w:type="spellStart"/>
      <w:r>
        <w:t>НП</w:t>
      </w:r>
      <w:r>
        <w:rPr>
          <w:vertAlign w:val="subscript"/>
        </w:rPr>
        <w:t>j</w:t>
      </w:r>
      <w:proofErr w:type="spellEnd"/>
      <w:r>
        <w:t xml:space="preserve"> - налоговый потенциал j-</w:t>
      </w:r>
      <w:proofErr w:type="spellStart"/>
      <w:r>
        <w:t>го</w:t>
      </w:r>
      <w:proofErr w:type="spellEnd"/>
      <w:r>
        <w:t xml:space="preserve"> налога в данном поселении;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lastRenderedPageBreak/>
        <w:t>НБ</w:t>
      </w:r>
      <w:r>
        <w:rPr>
          <w:vertAlign w:val="subscript"/>
        </w:rPr>
        <w:t>i</w:t>
      </w:r>
      <w:proofErr w:type="spellEnd"/>
      <w:r>
        <w:t xml:space="preserve"> - налоговая база данного налога в i-м поселении в прогнозном году;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ПД - суммарный прогноз поступлений по данному налогу в бюджеты всех поселений;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НБ - суммарная налоговая база данного налога.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2.4. Налоговый потенциал по всем видам налогов определяется по формуле: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proofErr w:type="spellStart"/>
      <w:r>
        <w:t>НП</w:t>
      </w:r>
      <w:r>
        <w:rPr>
          <w:vertAlign w:val="subscript"/>
        </w:rPr>
        <w:t>i</w:t>
      </w:r>
      <w:proofErr w:type="spellEnd"/>
      <w:r>
        <w:t xml:space="preserve"> = SUM (</w:t>
      </w:r>
      <w:proofErr w:type="spellStart"/>
      <w:r>
        <w:t>НП</w:t>
      </w:r>
      <w:r>
        <w:rPr>
          <w:vertAlign w:val="subscript"/>
        </w:rPr>
        <w:t>j</w:t>
      </w:r>
      <w:proofErr w:type="spellEnd"/>
      <w:r>
        <w:t>), где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proofErr w:type="spellStart"/>
      <w:r>
        <w:t>НП</w:t>
      </w:r>
      <w:r>
        <w:rPr>
          <w:vertAlign w:val="subscript"/>
        </w:rPr>
        <w:t>i</w:t>
      </w:r>
      <w:proofErr w:type="spellEnd"/>
      <w:r>
        <w:t xml:space="preserve"> - сумма налоговых потенциалов по видам налогов в поселении (объем налогового потенциала).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2.5. Индекс налогового потенциала (ИНП) рассчитывается как отношение налогового потенциала поселения в расчете на одного жителя к аналогичному показателю по всей территории.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Индекс налогового потенциала рассчитывается по следующей формуле: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 xml:space="preserve">ИНП = </w:t>
      </w:r>
      <w:proofErr w:type="spellStart"/>
      <w:r>
        <w:t>НП</w:t>
      </w:r>
      <w:r>
        <w:rPr>
          <w:vertAlign w:val="subscript"/>
        </w:rPr>
        <w:t>i</w:t>
      </w:r>
      <w:proofErr w:type="spellEnd"/>
      <w:r>
        <w:t xml:space="preserve"> / </w:t>
      </w:r>
      <w:proofErr w:type="spellStart"/>
      <w:r>
        <w:t>Н</w:t>
      </w:r>
      <w:r>
        <w:rPr>
          <w:vertAlign w:val="subscript"/>
        </w:rPr>
        <w:t>i</w:t>
      </w:r>
      <w:proofErr w:type="spellEnd"/>
      <w:r>
        <w:t xml:space="preserve"> / </w:t>
      </w:r>
      <w:proofErr w:type="spellStart"/>
      <w:r>
        <w:t>НП</w:t>
      </w:r>
      <w:r>
        <w:rPr>
          <w:vertAlign w:val="subscript"/>
        </w:rPr>
        <w:t>респ</w:t>
      </w:r>
      <w:proofErr w:type="spellEnd"/>
      <w:r>
        <w:t xml:space="preserve"> / Н, где: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proofErr w:type="spellStart"/>
      <w:r>
        <w:t>НП</w:t>
      </w:r>
      <w:r>
        <w:rPr>
          <w:vertAlign w:val="subscript"/>
        </w:rPr>
        <w:t>i</w:t>
      </w:r>
      <w:proofErr w:type="spellEnd"/>
      <w:r>
        <w:t xml:space="preserve"> - налоговый потенциал i-</w:t>
      </w:r>
      <w:proofErr w:type="spellStart"/>
      <w:r>
        <w:t>го</w:t>
      </w:r>
      <w:proofErr w:type="spellEnd"/>
      <w:r>
        <w:t xml:space="preserve"> поселения;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Н</w:t>
      </w:r>
      <w:r>
        <w:rPr>
          <w:vertAlign w:val="subscript"/>
        </w:rPr>
        <w:t>i</w:t>
      </w:r>
      <w:proofErr w:type="spellEnd"/>
      <w:r>
        <w:t xml:space="preserve"> - население i-</w:t>
      </w:r>
      <w:proofErr w:type="spellStart"/>
      <w:r>
        <w:t>го</w:t>
      </w:r>
      <w:proofErr w:type="spellEnd"/>
      <w:r>
        <w:t xml:space="preserve"> поселения;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НП</w:t>
      </w:r>
      <w:r>
        <w:rPr>
          <w:vertAlign w:val="subscript"/>
        </w:rPr>
        <w:t>респ</w:t>
      </w:r>
      <w:proofErr w:type="spellEnd"/>
      <w:r>
        <w:t xml:space="preserve"> - суммарный налоговый потенциал по всем поселениям;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Н - суммарное население по всем поселениям.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jc w:val="center"/>
        <w:outlineLvl w:val="1"/>
      </w:pPr>
      <w:r>
        <w:t>3. Методика расчета индекса</w:t>
      </w:r>
    </w:p>
    <w:p w:rsidR="008B30B6" w:rsidRDefault="008B30B6">
      <w:pPr>
        <w:pStyle w:val="ConsPlusNormal"/>
        <w:jc w:val="center"/>
      </w:pPr>
      <w:r>
        <w:t>бюджетных расходов поселений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>3.1. Бюджетная обеспеченность поселений рассчитывается по следующей формуле: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proofErr w:type="spellStart"/>
      <w:r>
        <w:t>БО</w:t>
      </w:r>
      <w:r>
        <w:rPr>
          <w:vertAlign w:val="subscript"/>
        </w:rPr>
        <w:t>i</w:t>
      </w:r>
      <w:proofErr w:type="spellEnd"/>
      <w:r>
        <w:t xml:space="preserve"> = </w:t>
      </w:r>
      <w:proofErr w:type="spellStart"/>
      <w:r>
        <w:t>ИНП</w:t>
      </w:r>
      <w:r>
        <w:rPr>
          <w:vertAlign w:val="subscript"/>
        </w:rPr>
        <w:t>i</w:t>
      </w:r>
      <w:proofErr w:type="spellEnd"/>
      <w:r>
        <w:t xml:space="preserve"> / </w:t>
      </w:r>
      <w:proofErr w:type="spellStart"/>
      <w:r>
        <w:t>ИБР</w:t>
      </w:r>
      <w:r>
        <w:rPr>
          <w:vertAlign w:val="subscript"/>
        </w:rPr>
        <w:t>i</w:t>
      </w:r>
      <w:proofErr w:type="spellEnd"/>
      <w:r>
        <w:t>, где: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proofErr w:type="spellStart"/>
      <w:r>
        <w:t>БО</w:t>
      </w:r>
      <w:r>
        <w:rPr>
          <w:vertAlign w:val="subscript"/>
        </w:rPr>
        <w:t>i</w:t>
      </w:r>
      <w:proofErr w:type="spellEnd"/>
      <w:r>
        <w:t xml:space="preserve"> - бюджетная обеспеченность i-</w:t>
      </w:r>
      <w:proofErr w:type="spellStart"/>
      <w:r>
        <w:t>го</w:t>
      </w:r>
      <w:proofErr w:type="spellEnd"/>
      <w:r>
        <w:t xml:space="preserve"> поселения;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ИНП</w:t>
      </w:r>
      <w:r>
        <w:rPr>
          <w:vertAlign w:val="subscript"/>
        </w:rPr>
        <w:t>i</w:t>
      </w:r>
      <w:proofErr w:type="spellEnd"/>
      <w:r>
        <w:t xml:space="preserve"> - индекс налогового потенциала i-</w:t>
      </w:r>
      <w:proofErr w:type="spellStart"/>
      <w:r>
        <w:t>го</w:t>
      </w:r>
      <w:proofErr w:type="spellEnd"/>
      <w:r>
        <w:t xml:space="preserve"> поселения;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ИБР</w:t>
      </w:r>
      <w:r>
        <w:rPr>
          <w:vertAlign w:val="subscript"/>
        </w:rPr>
        <w:t>i</w:t>
      </w:r>
      <w:proofErr w:type="spellEnd"/>
      <w:r>
        <w:t xml:space="preserve"> - индекс бюджетных расходов i-</w:t>
      </w:r>
      <w:proofErr w:type="spellStart"/>
      <w:r>
        <w:t>го</w:t>
      </w:r>
      <w:proofErr w:type="spellEnd"/>
      <w:r>
        <w:t xml:space="preserve"> поселения.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3.2. Индекс бюджетных расходов по i-</w:t>
      </w:r>
      <w:proofErr w:type="spellStart"/>
      <w:r>
        <w:t>му</w:t>
      </w:r>
      <w:proofErr w:type="spellEnd"/>
      <w:r>
        <w:t xml:space="preserve"> поселению (</w:t>
      </w:r>
      <w:proofErr w:type="spellStart"/>
      <w:r>
        <w:t>ИБР</w:t>
      </w:r>
      <w:r>
        <w:rPr>
          <w:vertAlign w:val="subscript"/>
        </w:rPr>
        <w:t>i</w:t>
      </w:r>
      <w:proofErr w:type="spellEnd"/>
      <w:r>
        <w:t>) рассчитывается по формуле: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proofErr w:type="spellStart"/>
      <w:r>
        <w:t>ИБР</w:t>
      </w:r>
      <w:r>
        <w:rPr>
          <w:vertAlign w:val="subscript"/>
        </w:rPr>
        <w:t>i</w:t>
      </w:r>
      <w:proofErr w:type="spellEnd"/>
      <w:r>
        <w:t xml:space="preserve"> = (</w:t>
      </w:r>
      <w:proofErr w:type="spellStart"/>
      <w:r>
        <w:t>R</w:t>
      </w:r>
      <w:r>
        <w:rPr>
          <w:vertAlign w:val="subscript"/>
        </w:rPr>
        <w:t>i</w:t>
      </w:r>
      <w:proofErr w:type="spellEnd"/>
      <w:r>
        <w:t xml:space="preserve"> / </w:t>
      </w:r>
      <w:proofErr w:type="spellStart"/>
      <w:r>
        <w:t>Н</w:t>
      </w:r>
      <w:r>
        <w:rPr>
          <w:vertAlign w:val="subscript"/>
        </w:rPr>
        <w:t>i</w:t>
      </w:r>
      <w:proofErr w:type="spellEnd"/>
      <w:r>
        <w:t>) / (R / Н), где: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proofErr w:type="spellStart"/>
      <w:r>
        <w:t>R</w:t>
      </w:r>
      <w:r>
        <w:rPr>
          <w:vertAlign w:val="subscript"/>
        </w:rPr>
        <w:t>i</w:t>
      </w:r>
      <w:proofErr w:type="spellEnd"/>
      <w:r>
        <w:t>, R - соответственно условно-нормативные расходы на одного потребителя бюджетных услуг поселения и всех поселений;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Н</w:t>
      </w:r>
      <w:r>
        <w:rPr>
          <w:vertAlign w:val="subscript"/>
        </w:rPr>
        <w:t>i</w:t>
      </w:r>
      <w:proofErr w:type="spellEnd"/>
      <w:r>
        <w:t>, Н - соответственно численность постоянного населения поселения и постоянного населения по каждой отдельной группе территорий.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3.3. Условно-нормативные расходы на одного потребителя бюджетных услуг по поселениям по каждому принимаемому в расчет разделу функциональной классификации расходов рассчитываются на основе расчетной минимальной бюджетной обеспеченности по формуле:</w:t>
      </w:r>
    </w:p>
    <w:p w:rsidR="008B30B6" w:rsidRDefault="008B30B6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Республики Дагестан от 01.11.2007 N 48)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proofErr w:type="spellStart"/>
      <w:r>
        <w:t>R</w:t>
      </w:r>
      <w:r>
        <w:rPr>
          <w:vertAlign w:val="subscript"/>
        </w:rPr>
        <w:t>i</w:t>
      </w:r>
      <w:proofErr w:type="spellEnd"/>
      <w:r>
        <w:t xml:space="preserve"> = UN x (</w:t>
      </w:r>
      <w:proofErr w:type="spellStart"/>
      <w:r>
        <w:t>К</w:t>
      </w:r>
      <w:r>
        <w:rPr>
          <w:vertAlign w:val="subscript"/>
        </w:rPr>
        <w:t>i</w:t>
      </w:r>
      <w:proofErr w:type="spellEnd"/>
      <w:r>
        <w:t xml:space="preserve"> + ... + KN), где: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>UN - средние условно-нормативные расходы в целом по всем муниципальным районам (городским округам) Республики Дагестан по оказанию соответствующей услуги на одного жителя;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К</w:t>
      </w:r>
      <w:r>
        <w:rPr>
          <w:vertAlign w:val="subscript"/>
        </w:rPr>
        <w:t>i</w:t>
      </w:r>
      <w:proofErr w:type="spellEnd"/>
      <w:r>
        <w:t xml:space="preserve"> + ... + KN - коэффициенты относительного удорожания стоимости бюджетных услуг в поселении.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При определении расходов поселения в расчет принимается следующая категория потребителей услуг:</w:t>
      </w:r>
    </w:p>
    <w:p w:rsidR="008B30B6" w:rsidRDefault="008B30B6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1814"/>
      </w:tblGrid>
      <w:tr w:rsidR="008B30B6">
        <w:tc>
          <w:tcPr>
            <w:tcW w:w="3175" w:type="dxa"/>
          </w:tcPr>
          <w:p w:rsidR="008B30B6" w:rsidRDefault="008B30B6">
            <w:pPr>
              <w:pStyle w:val="ConsPlusNormal"/>
              <w:jc w:val="center"/>
            </w:pPr>
            <w:r>
              <w:t>Раздел (подраздел) функциональной классификации расходов</w:t>
            </w:r>
          </w:p>
        </w:tc>
        <w:tc>
          <w:tcPr>
            <w:tcW w:w="1814" w:type="dxa"/>
          </w:tcPr>
          <w:p w:rsidR="008B30B6" w:rsidRDefault="008B30B6">
            <w:pPr>
              <w:pStyle w:val="ConsPlusNormal"/>
              <w:jc w:val="center"/>
            </w:pPr>
            <w:r>
              <w:t>Категория потребителей услуг</w:t>
            </w:r>
          </w:p>
        </w:tc>
      </w:tr>
      <w:tr w:rsidR="008B30B6">
        <w:tc>
          <w:tcPr>
            <w:tcW w:w="3175" w:type="dxa"/>
          </w:tcPr>
          <w:p w:rsidR="008B30B6" w:rsidRDefault="008B30B6">
            <w:pPr>
              <w:pStyle w:val="ConsPlusNormal"/>
            </w:pPr>
            <w:r>
              <w:t>1. Жилищно-коммунальное хозяйство</w:t>
            </w:r>
          </w:p>
        </w:tc>
        <w:tc>
          <w:tcPr>
            <w:tcW w:w="1814" w:type="dxa"/>
          </w:tcPr>
          <w:p w:rsidR="008B30B6" w:rsidRDefault="008B30B6">
            <w:pPr>
              <w:pStyle w:val="ConsPlusNormal"/>
              <w:jc w:val="center"/>
            </w:pPr>
            <w:r>
              <w:t>Население</w:t>
            </w:r>
          </w:p>
        </w:tc>
      </w:tr>
      <w:tr w:rsidR="008B30B6">
        <w:tc>
          <w:tcPr>
            <w:tcW w:w="3175" w:type="dxa"/>
          </w:tcPr>
          <w:p w:rsidR="008B30B6" w:rsidRDefault="008B30B6">
            <w:pPr>
              <w:pStyle w:val="ConsPlusNormal"/>
            </w:pPr>
            <w:r>
              <w:t>2. Образование (в части молодежной политики)</w:t>
            </w:r>
          </w:p>
        </w:tc>
        <w:tc>
          <w:tcPr>
            <w:tcW w:w="1814" w:type="dxa"/>
          </w:tcPr>
          <w:p w:rsidR="008B30B6" w:rsidRDefault="008B30B6">
            <w:pPr>
              <w:pStyle w:val="ConsPlusNormal"/>
              <w:jc w:val="center"/>
            </w:pPr>
            <w:r>
              <w:t>Население</w:t>
            </w:r>
          </w:p>
        </w:tc>
      </w:tr>
      <w:tr w:rsidR="008B30B6">
        <w:tc>
          <w:tcPr>
            <w:tcW w:w="3175" w:type="dxa"/>
          </w:tcPr>
          <w:p w:rsidR="008B30B6" w:rsidRDefault="008B30B6">
            <w:pPr>
              <w:pStyle w:val="ConsPlusNormal"/>
            </w:pPr>
            <w:r>
              <w:t>3. Культура</w:t>
            </w:r>
          </w:p>
        </w:tc>
        <w:tc>
          <w:tcPr>
            <w:tcW w:w="1814" w:type="dxa"/>
          </w:tcPr>
          <w:p w:rsidR="008B30B6" w:rsidRDefault="008B30B6">
            <w:pPr>
              <w:pStyle w:val="ConsPlusNormal"/>
              <w:jc w:val="center"/>
            </w:pPr>
            <w:r>
              <w:t>Население</w:t>
            </w:r>
          </w:p>
        </w:tc>
      </w:tr>
      <w:tr w:rsidR="008B30B6">
        <w:tc>
          <w:tcPr>
            <w:tcW w:w="3175" w:type="dxa"/>
          </w:tcPr>
          <w:p w:rsidR="008B30B6" w:rsidRDefault="008B30B6">
            <w:pPr>
              <w:pStyle w:val="ConsPlusNormal"/>
            </w:pPr>
            <w:r>
              <w:t>4. Физкультура и спорт</w:t>
            </w:r>
          </w:p>
        </w:tc>
        <w:tc>
          <w:tcPr>
            <w:tcW w:w="1814" w:type="dxa"/>
          </w:tcPr>
          <w:p w:rsidR="008B30B6" w:rsidRDefault="008B30B6">
            <w:pPr>
              <w:pStyle w:val="ConsPlusNormal"/>
              <w:jc w:val="center"/>
            </w:pPr>
            <w:r>
              <w:t>Население</w:t>
            </w:r>
          </w:p>
        </w:tc>
      </w:tr>
    </w:tbl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>3.4. В настоящей методике применяются следующие коэффициенты удорожания стоимости предоставления бюджетных услуг: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3.4.1. Коэффициент дисперсности (расселения), рассчитываемый по следующей формуле: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proofErr w:type="spellStart"/>
      <w:r>
        <w:t>К</w:t>
      </w:r>
      <w:r>
        <w:rPr>
          <w:vertAlign w:val="subscript"/>
        </w:rPr>
        <w:t>iд</w:t>
      </w:r>
      <w:proofErr w:type="spellEnd"/>
      <w:r>
        <w:t xml:space="preserve"> = 1 + </w:t>
      </w:r>
      <w:proofErr w:type="spellStart"/>
      <w:r>
        <w:t>УВ</w:t>
      </w:r>
      <w:r>
        <w:rPr>
          <w:vertAlign w:val="subscript"/>
        </w:rPr>
        <w:t>i</w:t>
      </w:r>
      <w:proofErr w:type="spellEnd"/>
      <w:r>
        <w:t>, где: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proofErr w:type="spellStart"/>
      <w:r>
        <w:t>К</w:t>
      </w:r>
      <w:r>
        <w:rPr>
          <w:vertAlign w:val="subscript"/>
        </w:rPr>
        <w:t>iд</w:t>
      </w:r>
      <w:proofErr w:type="spellEnd"/>
      <w:r>
        <w:t xml:space="preserve"> - коэффициент дисперсности (расселения) в поселениях i-</w:t>
      </w:r>
      <w:proofErr w:type="spellStart"/>
      <w:r>
        <w:t>го</w:t>
      </w:r>
      <w:proofErr w:type="spellEnd"/>
      <w:r>
        <w:t xml:space="preserve"> муниципального района (городского округа);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УВ</w:t>
      </w:r>
      <w:r>
        <w:rPr>
          <w:vertAlign w:val="subscript"/>
        </w:rPr>
        <w:t>i</w:t>
      </w:r>
      <w:proofErr w:type="spellEnd"/>
      <w:r>
        <w:t xml:space="preserve"> - удельный вес жителей поселений i-</w:t>
      </w:r>
      <w:proofErr w:type="spellStart"/>
      <w:r>
        <w:t>го</w:t>
      </w:r>
      <w:proofErr w:type="spellEnd"/>
      <w:r>
        <w:t xml:space="preserve"> муниципального района (городского округа), проживающих в населенных пунктах с численностью населения менее 1000 человек. Коэффициент дисперсности (расселения) усредняется по каждой группе территорий.</w:t>
      </w:r>
    </w:p>
    <w:p w:rsidR="008B30B6" w:rsidRDefault="008B30B6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Республики Дагестан от 27.12.2011 N 87)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3.4.2. Коэффициент заработной платы, рассчитываемый по следующей формуле: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 w:rsidRPr="008B7C4F">
        <w:rPr>
          <w:position w:val="-14"/>
        </w:rPr>
        <w:pict>
          <v:shape id="_x0000_i1025" style="width:141.75pt;height:28.5pt" coordsize="" o:spt="100" adj="0,,0" path="" filled="f" stroked="f">
            <v:stroke joinstyle="miter"/>
            <v:imagedata r:id="rId44" o:title="base_23898_33199_2"/>
            <v:formulas/>
            <v:path o:connecttype="segments"/>
          </v:shape>
        </w:pict>
      </w:r>
      <w:r>
        <w:t>, где: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>1,25 - уровень повышения оплаты труда специалистов социальной сферы за работу в сельской местности;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U - удельный вес оплаты труда, сложившийся в целом в утвержденных бюджетах поселений муниципальных районов (городских округов) на текущий финансовый год и определяемый как отношение объема оплаты труда к объему расходов;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К</w:t>
      </w:r>
      <w:r>
        <w:rPr>
          <w:vertAlign w:val="subscript"/>
        </w:rPr>
        <w:t>райi</w:t>
      </w:r>
      <w:proofErr w:type="spellEnd"/>
      <w:r>
        <w:t xml:space="preserve"> - средневзвешенный по поселениям i-</w:t>
      </w:r>
      <w:proofErr w:type="spellStart"/>
      <w:r>
        <w:t>го</w:t>
      </w:r>
      <w:proofErr w:type="spellEnd"/>
      <w:r>
        <w:t xml:space="preserve"> муниципального района (городского округа) коэффициент к заработной плате за работу в высокогорных, пустынных и безводных местностях, рассчитываемый по формуле: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 w:rsidRPr="008B7C4F">
        <w:rPr>
          <w:position w:val="-24"/>
        </w:rPr>
        <w:pict>
          <v:shape id="_x0000_i1026" style="width:202.5pt;height:42pt" coordsize="" o:spt="100" adj="0,,0" path="" filled="f" stroked="f">
            <v:stroke joinstyle="miter"/>
            <v:imagedata r:id="rId45" o:title="base_23898_33199_3"/>
            <v:formulas/>
            <v:path o:connecttype="segments"/>
          </v:shape>
        </w:pict>
      </w:r>
      <w:r>
        <w:t>, где: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proofErr w:type="spellStart"/>
      <w:r>
        <w:t>К</w:t>
      </w:r>
      <w:r>
        <w:rPr>
          <w:vertAlign w:val="subscript"/>
        </w:rPr>
        <w:t>райij</w:t>
      </w:r>
      <w:proofErr w:type="spellEnd"/>
      <w:r>
        <w:t xml:space="preserve"> - районный коэффициент к заработной плате, установленный федеральными и республиканскими нормативными правовыми актами для j-</w:t>
      </w:r>
      <w:proofErr w:type="spellStart"/>
      <w:r>
        <w:t>го</w:t>
      </w:r>
      <w:proofErr w:type="spellEnd"/>
      <w:r>
        <w:t xml:space="preserve"> населенного пункта i-</w:t>
      </w:r>
      <w:proofErr w:type="spellStart"/>
      <w:r>
        <w:t>го</w:t>
      </w:r>
      <w:proofErr w:type="spellEnd"/>
      <w:r>
        <w:t xml:space="preserve"> муниципального района (городского округа);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Н</w:t>
      </w:r>
      <w:r>
        <w:rPr>
          <w:vertAlign w:val="subscript"/>
        </w:rPr>
        <w:t>j</w:t>
      </w:r>
      <w:proofErr w:type="spellEnd"/>
      <w:r>
        <w:t xml:space="preserve"> - численность постоянного населения j-</w:t>
      </w:r>
      <w:proofErr w:type="spellStart"/>
      <w:r>
        <w:t>го</w:t>
      </w:r>
      <w:proofErr w:type="spellEnd"/>
      <w:r>
        <w:t xml:space="preserve"> населенного пункта i-</w:t>
      </w:r>
      <w:proofErr w:type="spellStart"/>
      <w:r>
        <w:t>го</w:t>
      </w:r>
      <w:proofErr w:type="spellEnd"/>
      <w:r>
        <w:t xml:space="preserve"> муниципального района (городского округа);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Н</w:t>
      </w:r>
      <w:r>
        <w:rPr>
          <w:vertAlign w:val="subscript"/>
        </w:rPr>
        <w:t>i</w:t>
      </w:r>
      <w:proofErr w:type="spellEnd"/>
      <w:r>
        <w:t xml:space="preserve"> - численность постоянного населения всех населенных пунктов i-</w:t>
      </w:r>
      <w:proofErr w:type="spellStart"/>
      <w:r>
        <w:t>го</w:t>
      </w:r>
      <w:proofErr w:type="spellEnd"/>
      <w:r>
        <w:t xml:space="preserve"> муниципального района (городского округа).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3.4.3. Коэффициент транспортной доступности, рассчитываемый по следующей формуле: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jc w:val="center"/>
      </w:pPr>
      <w:proofErr w:type="spellStart"/>
      <w:r>
        <w:t>К</w:t>
      </w:r>
      <w:r>
        <w:rPr>
          <w:vertAlign w:val="subscript"/>
        </w:rPr>
        <w:t>достi</w:t>
      </w:r>
      <w:proofErr w:type="spellEnd"/>
      <w:r>
        <w:t xml:space="preserve"> = 1 + </w:t>
      </w:r>
      <w:proofErr w:type="spellStart"/>
      <w:r>
        <w:t>K</w:t>
      </w:r>
      <w:r>
        <w:rPr>
          <w:vertAlign w:val="subscript"/>
        </w:rPr>
        <w:t>i</w:t>
      </w:r>
      <w:proofErr w:type="spellEnd"/>
      <w:r>
        <w:t>, где: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proofErr w:type="spellStart"/>
      <w:r>
        <w:t>K</w:t>
      </w:r>
      <w:r>
        <w:rPr>
          <w:vertAlign w:val="subscript"/>
        </w:rPr>
        <w:t>i</w:t>
      </w:r>
      <w:proofErr w:type="spellEnd"/>
      <w:r>
        <w:t xml:space="preserve"> - принимает значение в зависимости от расстояния от административного центра муниципального района, городского округа, городского округа с внутригородским делением Республики Дагестан до узловой транспортной станции по следующей таблице:</w:t>
      </w:r>
    </w:p>
    <w:p w:rsidR="008B30B6" w:rsidRDefault="008B30B6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84"/>
      </w:tblGrid>
      <w:tr w:rsidR="008B30B6">
        <w:tc>
          <w:tcPr>
            <w:tcW w:w="3685" w:type="dxa"/>
          </w:tcPr>
          <w:p w:rsidR="008B30B6" w:rsidRDefault="008B30B6">
            <w:pPr>
              <w:pStyle w:val="ConsPlusNormal"/>
              <w:jc w:val="center"/>
            </w:pPr>
            <w:r>
              <w:t>Расстояние от административного центра муниципального района, городского округа, городского округа с внутригородским делением Республики Дагестан до узловой транспортной станции (км)</w:t>
            </w:r>
          </w:p>
        </w:tc>
        <w:tc>
          <w:tcPr>
            <w:tcW w:w="1984" w:type="dxa"/>
          </w:tcPr>
          <w:p w:rsidR="008B30B6" w:rsidRDefault="008B30B6">
            <w:pPr>
              <w:pStyle w:val="ConsPlusNormal"/>
              <w:jc w:val="center"/>
            </w:pPr>
            <w:proofErr w:type="spellStart"/>
            <w:r>
              <w:t>K</w:t>
            </w:r>
            <w:r>
              <w:rPr>
                <w:vertAlign w:val="subscript"/>
              </w:rPr>
              <w:t>i</w:t>
            </w:r>
            <w:proofErr w:type="spellEnd"/>
          </w:p>
        </w:tc>
      </w:tr>
      <w:tr w:rsidR="008B30B6">
        <w:tc>
          <w:tcPr>
            <w:tcW w:w="3685" w:type="dxa"/>
          </w:tcPr>
          <w:p w:rsidR="008B30B6" w:rsidRDefault="008B30B6">
            <w:pPr>
              <w:pStyle w:val="ConsPlusNormal"/>
            </w:pPr>
            <w:r>
              <w:t>до 50</w:t>
            </w:r>
          </w:p>
        </w:tc>
        <w:tc>
          <w:tcPr>
            <w:tcW w:w="1984" w:type="dxa"/>
          </w:tcPr>
          <w:p w:rsidR="008B30B6" w:rsidRDefault="008B30B6">
            <w:pPr>
              <w:pStyle w:val="ConsPlusNormal"/>
              <w:jc w:val="center"/>
            </w:pPr>
            <w:r>
              <w:t>0</w:t>
            </w:r>
          </w:p>
        </w:tc>
      </w:tr>
      <w:tr w:rsidR="008B30B6">
        <w:tc>
          <w:tcPr>
            <w:tcW w:w="3685" w:type="dxa"/>
          </w:tcPr>
          <w:p w:rsidR="008B30B6" w:rsidRDefault="008B30B6">
            <w:pPr>
              <w:pStyle w:val="ConsPlusNormal"/>
            </w:pPr>
            <w:r>
              <w:t>от 50 до 100</w:t>
            </w:r>
          </w:p>
        </w:tc>
        <w:tc>
          <w:tcPr>
            <w:tcW w:w="1984" w:type="dxa"/>
          </w:tcPr>
          <w:p w:rsidR="008B30B6" w:rsidRDefault="008B30B6">
            <w:pPr>
              <w:pStyle w:val="ConsPlusNormal"/>
              <w:jc w:val="center"/>
            </w:pPr>
            <w:r>
              <w:t>0,05</w:t>
            </w:r>
          </w:p>
        </w:tc>
      </w:tr>
      <w:tr w:rsidR="008B30B6">
        <w:tc>
          <w:tcPr>
            <w:tcW w:w="3685" w:type="dxa"/>
          </w:tcPr>
          <w:p w:rsidR="008B30B6" w:rsidRDefault="008B30B6">
            <w:pPr>
              <w:pStyle w:val="ConsPlusNormal"/>
            </w:pPr>
            <w:r>
              <w:t>от 100 до 150</w:t>
            </w:r>
          </w:p>
        </w:tc>
        <w:tc>
          <w:tcPr>
            <w:tcW w:w="1984" w:type="dxa"/>
          </w:tcPr>
          <w:p w:rsidR="008B30B6" w:rsidRDefault="008B30B6">
            <w:pPr>
              <w:pStyle w:val="ConsPlusNormal"/>
              <w:jc w:val="center"/>
            </w:pPr>
            <w:r>
              <w:t>0,1</w:t>
            </w:r>
          </w:p>
        </w:tc>
      </w:tr>
      <w:tr w:rsidR="008B30B6">
        <w:tc>
          <w:tcPr>
            <w:tcW w:w="3685" w:type="dxa"/>
          </w:tcPr>
          <w:p w:rsidR="008B30B6" w:rsidRDefault="008B30B6">
            <w:pPr>
              <w:pStyle w:val="ConsPlusNormal"/>
            </w:pPr>
            <w:r>
              <w:t>от 150 и выше</w:t>
            </w:r>
          </w:p>
        </w:tc>
        <w:tc>
          <w:tcPr>
            <w:tcW w:w="1984" w:type="dxa"/>
          </w:tcPr>
          <w:p w:rsidR="008B30B6" w:rsidRDefault="008B30B6">
            <w:pPr>
              <w:pStyle w:val="ConsPlusNormal"/>
              <w:jc w:val="center"/>
            </w:pPr>
            <w:r>
              <w:t>0,15</w:t>
            </w:r>
          </w:p>
        </w:tc>
      </w:tr>
    </w:tbl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>Принять в качестве узловых транспортных станций для муниципальных образований:</w:t>
      </w:r>
    </w:p>
    <w:p w:rsidR="008B30B6" w:rsidRDefault="008B30B6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2268"/>
      </w:tblGrid>
      <w:tr w:rsidR="008B30B6">
        <w:tc>
          <w:tcPr>
            <w:tcW w:w="4819" w:type="dxa"/>
          </w:tcPr>
          <w:p w:rsidR="008B30B6" w:rsidRDefault="008B30B6">
            <w:pPr>
              <w:pStyle w:val="ConsPlusNormal"/>
              <w:jc w:val="center"/>
            </w:pPr>
            <w:r>
              <w:t>Муниципальные образования</w:t>
            </w:r>
          </w:p>
        </w:tc>
        <w:tc>
          <w:tcPr>
            <w:tcW w:w="2268" w:type="dxa"/>
          </w:tcPr>
          <w:p w:rsidR="008B30B6" w:rsidRDefault="008B30B6">
            <w:pPr>
              <w:pStyle w:val="ConsPlusNormal"/>
              <w:jc w:val="center"/>
            </w:pPr>
            <w:r>
              <w:t>Узловая транспортная станция</w:t>
            </w:r>
          </w:p>
        </w:tc>
      </w:tr>
      <w:tr w:rsidR="008B30B6">
        <w:tc>
          <w:tcPr>
            <w:tcW w:w="4819" w:type="dxa"/>
          </w:tcPr>
          <w:p w:rsidR="008B30B6" w:rsidRDefault="008B30B6">
            <w:pPr>
              <w:pStyle w:val="ConsPlusNormal"/>
            </w:pPr>
            <w:r>
              <w:t>"</w:t>
            </w:r>
            <w:proofErr w:type="spellStart"/>
            <w:r>
              <w:t>Акушинский</w:t>
            </w:r>
            <w:proofErr w:type="spellEnd"/>
            <w:r>
              <w:t xml:space="preserve"> район", "</w:t>
            </w:r>
            <w:proofErr w:type="spellStart"/>
            <w:r>
              <w:t>Ахвахский</w:t>
            </w:r>
            <w:proofErr w:type="spellEnd"/>
            <w:r>
              <w:t xml:space="preserve"> район", "Ботлихский район", "Буйнакский район", "</w:t>
            </w:r>
            <w:proofErr w:type="spellStart"/>
            <w:r>
              <w:t>Гергебильский</w:t>
            </w:r>
            <w:proofErr w:type="spellEnd"/>
            <w:r>
              <w:t xml:space="preserve"> район", "</w:t>
            </w:r>
            <w:proofErr w:type="spellStart"/>
            <w:r>
              <w:t>Гумбетовский</w:t>
            </w:r>
            <w:proofErr w:type="spellEnd"/>
            <w:r>
              <w:t xml:space="preserve"> район", "</w:t>
            </w:r>
            <w:proofErr w:type="spellStart"/>
            <w:r>
              <w:t>Гунибский</w:t>
            </w:r>
            <w:proofErr w:type="spellEnd"/>
            <w:r>
              <w:t xml:space="preserve"> район", "</w:t>
            </w:r>
            <w:proofErr w:type="spellStart"/>
            <w:r>
              <w:t>Карабудахкентский</w:t>
            </w:r>
            <w:proofErr w:type="spellEnd"/>
            <w:r>
              <w:t xml:space="preserve"> район", "</w:t>
            </w:r>
            <w:proofErr w:type="spellStart"/>
            <w:r>
              <w:t>Кумторкалинский</w:t>
            </w:r>
            <w:proofErr w:type="spellEnd"/>
            <w:r>
              <w:t xml:space="preserve"> район", "</w:t>
            </w:r>
            <w:proofErr w:type="spellStart"/>
            <w:r>
              <w:t>Кулинский</w:t>
            </w:r>
            <w:proofErr w:type="spellEnd"/>
            <w:r>
              <w:t xml:space="preserve"> район", "</w:t>
            </w:r>
            <w:proofErr w:type="spellStart"/>
            <w:r>
              <w:t>Лакский</w:t>
            </w:r>
            <w:proofErr w:type="spellEnd"/>
            <w:r>
              <w:t xml:space="preserve"> район", "</w:t>
            </w:r>
            <w:proofErr w:type="spellStart"/>
            <w:r>
              <w:t>Левашинский</w:t>
            </w:r>
            <w:proofErr w:type="spellEnd"/>
            <w:r>
              <w:t xml:space="preserve"> район", "</w:t>
            </w:r>
            <w:proofErr w:type="spellStart"/>
            <w:r>
              <w:t>Тляратинский</w:t>
            </w:r>
            <w:proofErr w:type="spellEnd"/>
            <w:r>
              <w:t xml:space="preserve"> район", "</w:t>
            </w:r>
            <w:proofErr w:type="spellStart"/>
            <w:r>
              <w:t>Унцукульский</w:t>
            </w:r>
            <w:proofErr w:type="spellEnd"/>
            <w:r>
              <w:t xml:space="preserve"> район", "</w:t>
            </w:r>
            <w:proofErr w:type="spellStart"/>
            <w:r>
              <w:t>Хунзахский</w:t>
            </w:r>
            <w:proofErr w:type="spellEnd"/>
            <w:r>
              <w:t xml:space="preserve"> район", "</w:t>
            </w:r>
            <w:proofErr w:type="spellStart"/>
            <w:r>
              <w:t>Цумадинский</w:t>
            </w:r>
            <w:proofErr w:type="spellEnd"/>
            <w:r>
              <w:t xml:space="preserve"> район", "</w:t>
            </w:r>
            <w:proofErr w:type="spellStart"/>
            <w:r>
              <w:t>Цунтинский</w:t>
            </w:r>
            <w:proofErr w:type="spellEnd"/>
            <w:r>
              <w:t xml:space="preserve"> район", </w:t>
            </w:r>
            <w:r>
              <w:lastRenderedPageBreak/>
              <w:t>"</w:t>
            </w:r>
            <w:proofErr w:type="spellStart"/>
            <w:r>
              <w:t>Чародинский</w:t>
            </w:r>
            <w:proofErr w:type="spellEnd"/>
            <w:r>
              <w:t xml:space="preserve"> район", "</w:t>
            </w:r>
            <w:proofErr w:type="spellStart"/>
            <w:r>
              <w:t>Шамильский</w:t>
            </w:r>
            <w:proofErr w:type="spellEnd"/>
            <w:r>
              <w:t xml:space="preserve"> район", "</w:t>
            </w:r>
            <w:proofErr w:type="spellStart"/>
            <w:r>
              <w:t>Бежтинский</w:t>
            </w:r>
            <w:proofErr w:type="spellEnd"/>
            <w:r>
              <w:t xml:space="preserve"> участок", "город Буйнакск", "город Каспийск"</w:t>
            </w:r>
          </w:p>
        </w:tc>
        <w:tc>
          <w:tcPr>
            <w:tcW w:w="2268" w:type="dxa"/>
          </w:tcPr>
          <w:p w:rsidR="008B30B6" w:rsidRDefault="008B30B6">
            <w:pPr>
              <w:pStyle w:val="ConsPlusNormal"/>
              <w:jc w:val="center"/>
            </w:pPr>
            <w:r>
              <w:lastRenderedPageBreak/>
              <w:t>городской округ с внутригородским делением "город Махачкала"</w:t>
            </w:r>
          </w:p>
        </w:tc>
      </w:tr>
      <w:tr w:rsidR="008B30B6">
        <w:tc>
          <w:tcPr>
            <w:tcW w:w="4819" w:type="dxa"/>
          </w:tcPr>
          <w:p w:rsidR="008B30B6" w:rsidRDefault="008B30B6">
            <w:pPr>
              <w:pStyle w:val="ConsPlusNormal"/>
            </w:pPr>
            <w:r>
              <w:lastRenderedPageBreak/>
              <w:t>"Агульский район", "</w:t>
            </w:r>
            <w:proofErr w:type="spellStart"/>
            <w:r>
              <w:t>Ахтынский</w:t>
            </w:r>
            <w:proofErr w:type="spellEnd"/>
            <w:r>
              <w:t xml:space="preserve"> район", "</w:t>
            </w:r>
            <w:proofErr w:type="spellStart"/>
            <w:r>
              <w:t>Дахадаевский</w:t>
            </w:r>
            <w:proofErr w:type="spellEnd"/>
            <w:r>
              <w:t xml:space="preserve"> район", "Дербентский район", "</w:t>
            </w:r>
            <w:proofErr w:type="spellStart"/>
            <w:r>
              <w:t>Докузпаринский</w:t>
            </w:r>
            <w:proofErr w:type="spellEnd"/>
            <w:r>
              <w:t xml:space="preserve"> район", "</w:t>
            </w:r>
            <w:proofErr w:type="spellStart"/>
            <w:r>
              <w:t>Кайтагский</w:t>
            </w:r>
            <w:proofErr w:type="spellEnd"/>
            <w:r>
              <w:t xml:space="preserve"> район", "</w:t>
            </w:r>
            <w:proofErr w:type="spellStart"/>
            <w:r>
              <w:t>Курахский</w:t>
            </w:r>
            <w:proofErr w:type="spellEnd"/>
            <w:r>
              <w:t xml:space="preserve"> район", "</w:t>
            </w:r>
            <w:proofErr w:type="spellStart"/>
            <w:r>
              <w:t>Магарамкентский</w:t>
            </w:r>
            <w:proofErr w:type="spellEnd"/>
            <w:r>
              <w:t xml:space="preserve"> район", "</w:t>
            </w:r>
            <w:proofErr w:type="spellStart"/>
            <w:r>
              <w:t>Рутульский</w:t>
            </w:r>
            <w:proofErr w:type="spellEnd"/>
            <w:r>
              <w:t xml:space="preserve"> район", "Сулейман-</w:t>
            </w:r>
            <w:proofErr w:type="spellStart"/>
            <w:r>
              <w:t>Стальский</w:t>
            </w:r>
            <w:proofErr w:type="spellEnd"/>
            <w:r>
              <w:t xml:space="preserve"> район", "Табасаранский район", "</w:t>
            </w:r>
            <w:proofErr w:type="spellStart"/>
            <w:r>
              <w:t>Хивский</w:t>
            </w:r>
            <w:proofErr w:type="spellEnd"/>
            <w:r>
              <w:t xml:space="preserve"> район", "город Дагестанские Огни"</w:t>
            </w:r>
          </w:p>
        </w:tc>
        <w:tc>
          <w:tcPr>
            <w:tcW w:w="2268" w:type="dxa"/>
          </w:tcPr>
          <w:p w:rsidR="008B30B6" w:rsidRDefault="008B30B6">
            <w:pPr>
              <w:pStyle w:val="ConsPlusNormal"/>
              <w:jc w:val="center"/>
            </w:pPr>
            <w:r>
              <w:t>городской округ "город Дербент"</w:t>
            </w:r>
          </w:p>
        </w:tc>
      </w:tr>
      <w:tr w:rsidR="008B30B6">
        <w:tc>
          <w:tcPr>
            <w:tcW w:w="4819" w:type="dxa"/>
          </w:tcPr>
          <w:p w:rsidR="008B30B6" w:rsidRDefault="008B30B6">
            <w:pPr>
              <w:pStyle w:val="ConsPlusNormal"/>
            </w:pPr>
            <w:r>
              <w:t>"</w:t>
            </w:r>
            <w:proofErr w:type="spellStart"/>
            <w:r>
              <w:t>Кизилюртовский</w:t>
            </w:r>
            <w:proofErr w:type="spellEnd"/>
            <w:r>
              <w:t xml:space="preserve"> район"</w:t>
            </w:r>
          </w:p>
        </w:tc>
        <w:tc>
          <w:tcPr>
            <w:tcW w:w="2268" w:type="dxa"/>
          </w:tcPr>
          <w:p w:rsidR="008B30B6" w:rsidRDefault="008B30B6">
            <w:pPr>
              <w:pStyle w:val="ConsPlusNormal"/>
              <w:jc w:val="center"/>
            </w:pPr>
            <w:r>
              <w:t xml:space="preserve">городской округ "город </w:t>
            </w:r>
            <w:proofErr w:type="spellStart"/>
            <w:r>
              <w:t>Кизилюрт</w:t>
            </w:r>
            <w:proofErr w:type="spellEnd"/>
            <w:r>
              <w:t>"</w:t>
            </w:r>
          </w:p>
        </w:tc>
      </w:tr>
      <w:tr w:rsidR="008B30B6">
        <w:tc>
          <w:tcPr>
            <w:tcW w:w="4819" w:type="dxa"/>
          </w:tcPr>
          <w:p w:rsidR="008B30B6" w:rsidRDefault="008B30B6">
            <w:pPr>
              <w:pStyle w:val="ConsPlusNormal"/>
            </w:pPr>
            <w:r>
              <w:t>"</w:t>
            </w:r>
            <w:proofErr w:type="spellStart"/>
            <w:r>
              <w:t>Бабаюртовский</w:t>
            </w:r>
            <w:proofErr w:type="spellEnd"/>
            <w:r>
              <w:t xml:space="preserve"> район", "</w:t>
            </w:r>
            <w:proofErr w:type="spellStart"/>
            <w:r>
              <w:t>Казбековский</w:t>
            </w:r>
            <w:proofErr w:type="spellEnd"/>
            <w:r>
              <w:t xml:space="preserve"> район", "Новолакский район", "Хасавюртовский район"</w:t>
            </w:r>
          </w:p>
        </w:tc>
        <w:tc>
          <w:tcPr>
            <w:tcW w:w="2268" w:type="dxa"/>
          </w:tcPr>
          <w:p w:rsidR="008B30B6" w:rsidRDefault="008B30B6">
            <w:pPr>
              <w:pStyle w:val="ConsPlusNormal"/>
              <w:jc w:val="center"/>
            </w:pPr>
            <w:r>
              <w:t>городской округ "город Хасавюрт"</w:t>
            </w:r>
          </w:p>
        </w:tc>
      </w:tr>
      <w:tr w:rsidR="008B30B6">
        <w:tc>
          <w:tcPr>
            <w:tcW w:w="4819" w:type="dxa"/>
          </w:tcPr>
          <w:p w:rsidR="008B30B6" w:rsidRDefault="008B30B6">
            <w:pPr>
              <w:pStyle w:val="ConsPlusNormal"/>
            </w:pPr>
            <w:r>
              <w:t>"</w:t>
            </w:r>
            <w:proofErr w:type="spellStart"/>
            <w:r>
              <w:t>Кизлярский</w:t>
            </w:r>
            <w:proofErr w:type="spellEnd"/>
            <w:r>
              <w:t xml:space="preserve"> район", "Ногайский район", "</w:t>
            </w:r>
            <w:proofErr w:type="spellStart"/>
            <w:r>
              <w:t>Тарумовский</w:t>
            </w:r>
            <w:proofErr w:type="spellEnd"/>
            <w:r>
              <w:t xml:space="preserve"> район", "город Южно-Сухокумск"</w:t>
            </w:r>
          </w:p>
        </w:tc>
        <w:tc>
          <w:tcPr>
            <w:tcW w:w="2268" w:type="dxa"/>
          </w:tcPr>
          <w:p w:rsidR="008B30B6" w:rsidRDefault="008B30B6">
            <w:pPr>
              <w:pStyle w:val="ConsPlusNormal"/>
              <w:jc w:val="center"/>
            </w:pPr>
            <w:r>
              <w:t>городской округ "город Кизляр"</w:t>
            </w:r>
          </w:p>
        </w:tc>
      </w:tr>
      <w:tr w:rsidR="008B30B6">
        <w:tc>
          <w:tcPr>
            <w:tcW w:w="4819" w:type="dxa"/>
          </w:tcPr>
          <w:p w:rsidR="008B30B6" w:rsidRDefault="008B30B6">
            <w:pPr>
              <w:pStyle w:val="ConsPlusNormal"/>
            </w:pPr>
            <w:r>
              <w:t>"</w:t>
            </w:r>
            <w:proofErr w:type="spellStart"/>
            <w:r>
              <w:t>Каякентский</w:t>
            </w:r>
            <w:proofErr w:type="spellEnd"/>
            <w:r>
              <w:t xml:space="preserve"> район", "</w:t>
            </w:r>
            <w:proofErr w:type="spellStart"/>
            <w:r>
              <w:t>Сергокалинский</w:t>
            </w:r>
            <w:proofErr w:type="spellEnd"/>
            <w:r>
              <w:t xml:space="preserve"> район"</w:t>
            </w:r>
          </w:p>
        </w:tc>
        <w:tc>
          <w:tcPr>
            <w:tcW w:w="2268" w:type="dxa"/>
          </w:tcPr>
          <w:p w:rsidR="008B30B6" w:rsidRDefault="008B30B6">
            <w:pPr>
              <w:pStyle w:val="ConsPlusNormal"/>
              <w:jc w:val="center"/>
            </w:pPr>
            <w:r>
              <w:t>городской округ "город Избербаш"</w:t>
            </w:r>
          </w:p>
        </w:tc>
      </w:tr>
    </w:tbl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 xml:space="preserve">Установить для всех узловых транспортных станций значение </w:t>
      </w:r>
      <w:proofErr w:type="spellStart"/>
      <w:r>
        <w:t>К</w:t>
      </w:r>
      <w:r>
        <w:rPr>
          <w:vertAlign w:val="subscript"/>
        </w:rPr>
        <w:t>i</w:t>
      </w:r>
      <w:proofErr w:type="spellEnd"/>
      <w:r>
        <w:t xml:space="preserve"> равным 0.</w:t>
      </w:r>
    </w:p>
    <w:p w:rsidR="008B30B6" w:rsidRDefault="008B30B6">
      <w:pPr>
        <w:pStyle w:val="ConsPlusNormal"/>
        <w:jc w:val="both"/>
      </w:pPr>
      <w:r>
        <w:t xml:space="preserve">(п. 3.4.3 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Республики Дагестан от 29.12.2017 N 111)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>3.4.4. Коэффициент численности населения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Коэффициенты численности населения принимаются в следующих значениях: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для муниципальных районов с численностью населения до 70 тыс. человек коэффициент численности населения принимает значение по следующей таблице:</w:t>
      </w:r>
    </w:p>
    <w:p w:rsidR="008B30B6" w:rsidRDefault="008B30B6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84"/>
      </w:tblGrid>
      <w:tr w:rsidR="008B30B6">
        <w:tc>
          <w:tcPr>
            <w:tcW w:w="3685" w:type="dxa"/>
          </w:tcPr>
          <w:p w:rsidR="008B30B6" w:rsidRDefault="008B30B6">
            <w:pPr>
              <w:pStyle w:val="ConsPlusNormal"/>
              <w:jc w:val="center"/>
            </w:pPr>
            <w:r>
              <w:t xml:space="preserve">Численность населения муниципального района </w:t>
            </w:r>
            <w:r>
              <w:lastRenderedPageBreak/>
              <w:t>Республики Дагестан, чел.</w:t>
            </w:r>
          </w:p>
        </w:tc>
        <w:tc>
          <w:tcPr>
            <w:tcW w:w="1984" w:type="dxa"/>
          </w:tcPr>
          <w:p w:rsidR="008B30B6" w:rsidRDefault="008B30B6">
            <w:pPr>
              <w:pStyle w:val="ConsPlusNormal"/>
              <w:jc w:val="center"/>
            </w:pPr>
            <w:r>
              <w:lastRenderedPageBreak/>
              <w:t xml:space="preserve">Коэффициент численности </w:t>
            </w:r>
            <w:r>
              <w:lastRenderedPageBreak/>
              <w:t>населения</w:t>
            </w:r>
          </w:p>
        </w:tc>
      </w:tr>
      <w:tr w:rsidR="008B30B6">
        <w:tc>
          <w:tcPr>
            <w:tcW w:w="3685" w:type="dxa"/>
          </w:tcPr>
          <w:p w:rsidR="008B30B6" w:rsidRDefault="008B30B6">
            <w:pPr>
              <w:pStyle w:val="ConsPlusNormal"/>
            </w:pPr>
            <w:r>
              <w:lastRenderedPageBreak/>
              <w:t>до 12000</w:t>
            </w:r>
          </w:p>
        </w:tc>
        <w:tc>
          <w:tcPr>
            <w:tcW w:w="1984" w:type="dxa"/>
          </w:tcPr>
          <w:p w:rsidR="008B30B6" w:rsidRDefault="008B30B6">
            <w:pPr>
              <w:pStyle w:val="ConsPlusNormal"/>
              <w:jc w:val="center"/>
            </w:pPr>
            <w:r>
              <w:t>1,15</w:t>
            </w:r>
          </w:p>
        </w:tc>
      </w:tr>
      <w:tr w:rsidR="008B30B6">
        <w:tc>
          <w:tcPr>
            <w:tcW w:w="3685" w:type="dxa"/>
          </w:tcPr>
          <w:p w:rsidR="008B30B6" w:rsidRDefault="008B30B6">
            <w:pPr>
              <w:pStyle w:val="ConsPlusNormal"/>
            </w:pPr>
            <w:r>
              <w:t>от 12001 до 16000</w:t>
            </w:r>
          </w:p>
        </w:tc>
        <w:tc>
          <w:tcPr>
            <w:tcW w:w="1984" w:type="dxa"/>
          </w:tcPr>
          <w:p w:rsidR="008B30B6" w:rsidRDefault="008B30B6">
            <w:pPr>
              <w:pStyle w:val="ConsPlusNormal"/>
              <w:jc w:val="center"/>
            </w:pPr>
            <w:r>
              <w:t>1,13</w:t>
            </w:r>
          </w:p>
        </w:tc>
      </w:tr>
      <w:tr w:rsidR="008B30B6">
        <w:tc>
          <w:tcPr>
            <w:tcW w:w="3685" w:type="dxa"/>
          </w:tcPr>
          <w:p w:rsidR="008B30B6" w:rsidRDefault="008B30B6">
            <w:pPr>
              <w:pStyle w:val="ConsPlusNormal"/>
            </w:pPr>
            <w:r>
              <w:t>от 16001 до 20000</w:t>
            </w:r>
          </w:p>
        </w:tc>
        <w:tc>
          <w:tcPr>
            <w:tcW w:w="1984" w:type="dxa"/>
          </w:tcPr>
          <w:p w:rsidR="008B30B6" w:rsidRDefault="008B30B6">
            <w:pPr>
              <w:pStyle w:val="ConsPlusNormal"/>
              <w:jc w:val="center"/>
            </w:pPr>
            <w:r>
              <w:t>1,1</w:t>
            </w:r>
          </w:p>
        </w:tc>
      </w:tr>
      <w:tr w:rsidR="008B30B6">
        <w:tc>
          <w:tcPr>
            <w:tcW w:w="3685" w:type="dxa"/>
          </w:tcPr>
          <w:p w:rsidR="008B30B6" w:rsidRDefault="008B30B6">
            <w:pPr>
              <w:pStyle w:val="ConsPlusNormal"/>
            </w:pPr>
            <w:r>
              <w:t>от 20001 до 24000</w:t>
            </w:r>
          </w:p>
        </w:tc>
        <w:tc>
          <w:tcPr>
            <w:tcW w:w="1984" w:type="dxa"/>
          </w:tcPr>
          <w:p w:rsidR="008B30B6" w:rsidRDefault="008B30B6">
            <w:pPr>
              <w:pStyle w:val="ConsPlusNormal"/>
              <w:jc w:val="center"/>
            </w:pPr>
            <w:r>
              <w:t>1,07</w:t>
            </w:r>
          </w:p>
        </w:tc>
      </w:tr>
      <w:tr w:rsidR="008B30B6">
        <w:tc>
          <w:tcPr>
            <w:tcW w:w="3685" w:type="dxa"/>
          </w:tcPr>
          <w:p w:rsidR="008B30B6" w:rsidRDefault="008B30B6">
            <w:pPr>
              <w:pStyle w:val="ConsPlusNormal"/>
            </w:pPr>
            <w:r>
              <w:t>от 24001 до 30000</w:t>
            </w:r>
          </w:p>
        </w:tc>
        <w:tc>
          <w:tcPr>
            <w:tcW w:w="1984" w:type="dxa"/>
          </w:tcPr>
          <w:p w:rsidR="008B30B6" w:rsidRDefault="008B30B6">
            <w:pPr>
              <w:pStyle w:val="ConsPlusNormal"/>
              <w:jc w:val="center"/>
            </w:pPr>
            <w:r>
              <w:t>1,05</w:t>
            </w:r>
          </w:p>
        </w:tc>
      </w:tr>
      <w:tr w:rsidR="008B30B6">
        <w:tc>
          <w:tcPr>
            <w:tcW w:w="3685" w:type="dxa"/>
          </w:tcPr>
          <w:p w:rsidR="008B30B6" w:rsidRDefault="008B30B6">
            <w:pPr>
              <w:pStyle w:val="ConsPlusNormal"/>
            </w:pPr>
            <w:r>
              <w:t>от 30001 до 35000</w:t>
            </w:r>
          </w:p>
        </w:tc>
        <w:tc>
          <w:tcPr>
            <w:tcW w:w="1984" w:type="dxa"/>
          </w:tcPr>
          <w:p w:rsidR="008B30B6" w:rsidRDefault="008B30B6">
            <w:pPr>
              <w:pStyle w:val="ConsPlusNormal"/>
              <w:jc w:val="center"/>
            </w:pPr>
            <w:r>
              <w:t>1,03</w:t>
            </w:r>
          </w:p>
        </w:tc>
      </w:tr>
      <w:tr w:rsidR="008B30B6">
        <w:tc>
          <w:tcPr>
            <w:tcW w:w="3685" w:type="dxa"/>
          </w:tcPr>
          <w:p w:rsidR="008B30B6" w:rsidRDefault="008B30B6">
            <w:pPr>
              <w:pStyle w:val="ConsPlusNormal"/>
            </w:pPr>
            <w:r>
              <w:t>от 35001 до 70000</w:t>
            </w:r>
          </w:p>
        </w:tc>
        <w:tc>
          <w:tcPr>
            <w:tcW w:w="1984" w:type="dxa"/>
          </w:tcPr>
          <w:p w:rsidR="008B30B6" w:rsidRDefault="008B30B6">
            <w:pPr>
              <w:pStyle w:val="ConsPlusNormal"/>
              <w:jc w:val="center"/>
            </w:pPr>
            <w:r>
              <w:t>1,0</w:t>
            </w:r>
          </w:p>
        </w:tc>
      </w:tr>
    </w:tbl>
    <w:p w:rsidR="008B30B6" w:rsidRDefault="008B30B6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Республики Дагестан от 29.12.2017 N 111)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>для муниципальных районов с численностью населения свыше 70 тыс. человек коэффициент численности населения принимает значение по следующей таблице:</w:t>
      </w:r>
    </w:p>
    <w:p w:rsidR="008B30B6" w:rsidRDefault="008B30B6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984"/>
      </w:tblGrid>
      <w:tr w:rsidR="008B30B6">
        <w:tc>
          <w:tcPr>
            <w:tcW w:w="3685" w:type="dxa"/>
          </w:tcPr>
          <w:p w:rsidR="008B30B6" w:rsidRDefault="008B30B6">
            <w:pPr>
              <w:pStyle w:val="ConsPlusNormal"/>
              <w:jc w:val="center"/>
            </w:pPr>
            <w:r>
              <w:t>Численность населения муниципального района Республики Дагестан, чел.</w:t>
            </w:r>
          </w:p>
        </w:tc>
        <w:tc>
          <w:tcPr>
            <w:tcW w:w="1984" w:type="dxa"/>
          </w:tcPr>
          <w:p w:rsidR="008B30B6" w:rsidRDefault="008B30B6">
            <w:pPr>
              <w:pStyle w:val="ConsPlusNormal"/>
              <w:jc w:val="center"/>
            </w:pPr>
            <w:r>
              <w:t>Коэффициент численности населения</w:t>
            </w:r>
          </w:p>
        </w:tc>
      </w:tr>
      <w:tr w:rsidR="008B30B6">
        <w:tc>
          <w:tcPr>
            <w:tcW w:w="3685" w:type="dxa"/>
          </w:tcPr>
          <w:p w:rsidR="008B30B6" w:rsidRDefault="008B30B6">
            <w:pPr>
              <w:pStyle w:val="ConsPlusNormal"/>
            </w:pPr>
            <w:r>
              <w:t>от 70001 до 75000</w:t>
            </w:r>
          </w:p>
        </w:tc>
        <w:tc>
          <w:tcPr>
            <w:tcW w:w="1984" w:type="dxa"/>
          </w:tcPr>
          <w:p w:rsidR="008B30B6" w:rsidRDefault="008B30B6">
            <w:pPr>
              <w:pStyle w:val="ConsPlusNormal"/>
              <w:jc w:val="center"/>
            </w:pPr>
            <w:r>
              <w:t>0,95</w:t>
            </w:r>
          </w:p>
        </w:tc>
      </w:tr>
      <w:tr w:rsidR="008B30B6">
        <w:tc>
          <w:tcPr>
            <w:tcW w:w="3685" w:type="dxa"/>
          </w:tcPr>
          <w:p w:rsidR="008B30B6" w:rsidRDefault="008B30B6">
            <w:pPr>
              <w:pStyle w:val="ConsPlusNormal"/>
            </w:pPr>
            <w:r>
              <w:t>от 75001 до 80000</w:t>
            </w:r>
          </w:p>
        </w:tc>
        <w:tc>
          <w:tcPr>
            <w:tcW w:w="1984" w:type="dxa"/>
          </w:tcPr>
          <w:p w:rsidR="008B30B6" w:rsidRDefault="008B30B6">
            <w:pPr>
              <w:pStyle w:val="ConsPlusNormal"/>
              <w:jc w:val="center"/>
            </w:pPr>
            <w:r>
              <w:t>0,92</w:t>
            </w:r>
          </w:p>
        </w:tc>
      </w:tr>
      <w:tr w:rsidR="008B30B6">
        <w:tc>
          <w:tcPr>
            <w:tcW w:w="3685" w:type="dxa"/>
          </w:tcPr>
          <w:p w:rsidR="008B30B6" w:rsidRDefault="008B30B6">
            <w:pPr>
              <w:pStyle w:val="ConsPlusNormal"/>
            </w:pPr>
            <w:r>
              <w:t>от 80001 до 85000</w:t>
            </w:r>
          </w:p>
        </w:tc>
        <w:tc>
          <w:tcPr>
            <w:tcW w:w="1984" w:type="dxa"/>
          </w:tcPr>
          <w:p w:rsidR="008B30B6" w:rsidRDefault="008B30B6">
            <w:pPr>
              <w:pStyle w:val="ConsPlusNormal"/>
              <w:jc w:val="center"/>
            </w:pPr>
            <w:r>
              <w:t>0,86</w:t>
            </w:r>
          </w:p>
        </w:tc>
      </w:tr>
      <w:tr w:rsidR="008B30B6">
        <w:tc>
          <w:tcPr>
            <w:tcW w:w="3685" w:type="dxa"/>
          </w:tcPr>
          <w:p w:rsidR="008B30B6" w:rsidRDefault="008B30B6">
            <w:pPr>
              <w:pStyle w:val="ConsPlusNormal"/>
            </w:pPr>
            <w:r>
              <w:t>от 85001 до 90000</w:t>
            </w:r>
          </w:p>
        </w:tc>
        <w:tc>
          <w:tcPr>
            <w:tcW w:w="1984" w:type="dxa"/>
          </w:tcPr>
          <w:p w:rsidR="008B30B6" w:rsidRDefault="008B30B6">
            <w:pPr>
              <w:pStyle w:val="ConsPlusNormal"/>
              <w:jc w:val="center"/>
            </w:pPr>
            <w:r>
              <w:t>0,82</w:t>
            </w:r>
          </w:p>
        </w:tc>
      </w:tr>
      <w:tr w:rsidR="008B30B6">
        <w:tc>
          <w:tcPr>
            <w:tcW w:w="3685" w:type="dxa"/>
          </w:tcPr>
          <w:p w:rsidR="008B30B6" w:rsidRDefault="008B30B6">
            <w:pPr>
              <w:pStyle w:val="ConsPlusNormal"/>
            </w:pPr>
            <w:r>
              <w:t>от 90001 до 95000</w:t>
            </w:r>
          </w:p>
        </w:tc>
        <w:tc>
          <w:tcPr>
            <w:tcW w:w="1984" w:type="dxa"/>
          </w:tcPr>
          <w:p w:rsidR="008B30B6" w:rsidRDefault="008B30B6">
            <w:pPr>
              <w:pStyle w:val="ConsPlusNormal"/>
              <w:jc w:val="center"/>
            </w:pPr>
            <w:r>
              <w:t>0,78</w:t>
            </w:r>
          </w:p>
        </w:tc>
      </w:tr>
      <w:tr w:rsidR="008B30B6">
        <w:tc>
          <w:tcPr>
            <w:tcW w:w="3685" w:type="dxa"/>
          </w:tcPr>
          <w:p w:rsidR="008B30B6" w:rsidRDefault="008B30B6">
            <w:pPr>
              <w:pStyle w:val="ConsPlusNormal"/>
            </w:pPr>
            <w:r>
              <w:t>от 95001 до 100000</w:t>
            </w:r>
          </w:p>
        </w:tc>
        <w:tc>
          <w:tcPr>
            <w:tcW w:w="1984" w:type="dxa"/>
          </w:tcPr>
          <w:p w:rsidR="008B30B6" w:rsidRDefault="008B30B6">
            <w:pPr>
              <w:pStyle w:val="ConsPlusNormal"/>
              <w:jc w:val="center"/>
            </w:pPr>
            <w:r>
              <w:t>0,74</w:t>
            </w:r>
          </w:p>
        </w:tc>
      </w:tr>
      <w:tr w:rsidR="008B30B6">
        <w:tc>
          <w:tcPr>
            <w:tcW w:w="3685" w:type="dxa"/>
          </w:tcPr>
          <w:p w:rsidR="008B30B6" w:rsidRDefault="008B30B6">
            <w:pPr>
              <w:pStyle w:val="ConsPlusNormal"/>
            </w:pPr>
            <w:r>
              <w:t>свыше 100000</w:t>
            </w:r>
          </w:p>
        </w:tc>
        <w:tc>
          <w:tcPr>
            <w:tcW w:w="1984" w:type="dxa"/>
          </w:tcPr>
          <w:p w:rsidR="008B30B6" w:rsidRDefault="008B30B6">
            <w:pPr>
              <w:pStyle w:val="ConsPlusNormal"/>
              <w:jc w:val="center"/>
            </w:pPr>
            <w:r>
              <w:t>0,7</w:t>
            </w:r>
          </w:p>
        </w:tc>
      </w:tr>
    </w:tbl>
    <w:p w:rsidR="008B30B6" w:rsidRDefault="008B30B6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Республики Дагестан от 29.12.2017 N 111)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>для городских округов коэффициент численности населения принимает значение по следующей таблице:</w:t>
      </w:r>
    </w:p>
    <w:p w:rsidR="008B30B6" w:rsidRDefault="008B30B6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1814"/>
      </w:tblGrid>
      <w:tr w:rsidR="008B30B6">
        <w:tc>
          <w:tcPr>
            <w:tcW w:w="3175" w:type="dxa"/>
          </w:tcPr>
          <w:p w:rsidR="008B30B6" w:rsidRDefault="008B30B6">
            <w:pPr>
              <w:pStyle w:val="ConsPlusNormal"/>
              <w:jc w:val="center"/>
            </w:pPr>
            <w:r>
              <w:t>Численность населения городского округа Республики Дагестан, чел.</w:t>
            </w:r>
          </w:p>
        </w:tc>
        <w:tc>
          <w:tcPr>
            <w:tcW w:w="1814" w:type="dxa"/>
          </w:tcPr>
          <w:p w:rsidR="008B30B6" w:rsidRDefault="008B30B6">
            <w:pPr>
              <w:pStyle w:val="ConsPlusNormal"/>
              <w:jc w:val="center"/>
            </w:pPr>
            <w:r>
              <w:t>Коэффициент численности населения</w:t>
            </w:r>
          </w:p>
        </w:tc>
      </w:tr>
      <w:tr w:rsidR="008B30B6">
        <w:tc>
          <w:tcPr>
            <w:tcW w:w="3175" w:type="dxa"/>
          </w:tcPr>
          <w:p w:rsidR="008B30B6" w:rsidRDefault="008B30B6">
            <w:pPr>
              <w:pStyle w:val="ConsPlusNormal"/>
            </w:pPr>
            <w:r>
              <w:lastRenderedPageBreak/>
              <w:t>до 15000</w:t>
            </w:r>
          </w:p>
        </w:tc>
        <w:tc>
          <w:tcPr>
            <w:tcW w:w="1814" w:type="dxa"/>
          </w:tcPr>
          <w:p w:rsidR="008B30B6" w:rsidRDefault="008B30B6">
            <w:pPr>
              <w:pStyle w:val="ConsPlusNormal"/>
              <w:jc w:val="center"/>
            </w:pPr>
            <w:r>
              <w:t>1,8</w:t>
            </w:r>
          </w:p>
        </w:tc>
      </w:tr>
      <w:tr w:rsidR="008B30B6">
        <w:tc>
          <w:tcPr>
            <w:tcW w:w="3175" w:type="dxa"/>
          </w:tcPr>
          <w:p w:rsidR="008B30B6" w:rsidRDefault="008B30B6">
            <w:pPr>
              <w:pStyle w:val="ConsPlusNormal"/>
            </w:pPr>
            <w:r>
              <w:t>от 15001 до 25000</w:t>
            </w:r>
          </w:p>
        </w:tc>
        <w:tc>
          <w:tcPr>
            <w:tcW w:w="1814" w:type="dxa"/>
          </w:tcPr>
          <w:p w:rsidR="008B30B6" w:rsidRDefault="008B30B6">
            <w:pPr>
              <w:pStyle w:val="ConsPlusNormal"/>
              <w:jc w:val="center"/>
            </w:pPr>
            <w:r>
              <w:t>1,6</w:t>
            </w:r>
          </w:p>
        </w:tc>
      </w:tr>
      <w:tr w:rsidR="008B30B6">
        <w:tc>
          <w:tcPr>
            <w:tcW w:w="3175" w:type="dxa"/>
          </w:tcPr>
          <w:p w:rsidR="008B30B6" w:rsidRDefault="008B30B6">
            <w:pPr>
              <w:pStyle w:val="ConsPlusNormal"/>
            </w:pPr>
            <w:r>
              <w:t>от 25001 до 50000</w:t>
            </w:r>
          </w:p>
        </w:tc>
        <w:tc>
          <w:tcPr>
            <w:tcW w:w="1814" w:type="dxa"/>
          </w:tcPr>
          <w:p w:rsidR="008B30B6" w:rsidRDefault="008B30B6">
            <w:pPr>
              <w:pStyle w:val="ConsPlusNormal"/>
              <w:jc w:val="center"/>
            </w:pPr>
            <w:r>
              <w:t>1,4</w:t>
            </w:r>
          </w:p>
        </w:tc>
      </w:tr>
      <w:tr w:rsidR="008B30B6">
        <w:tc>
          <w:tcPr>
            <w:tcW w:w="3175" w:type="dxa"/>
          </w:tcPr>
          <w:p w:rsidR="008B30B6" w:rsidRDefault="008B30B6">
            <w:pPr>
              <w:pStyle w:val="ConsPlusNormal"/>
            </w:pPr>
            <w:r>
              <w:t>от 50001 до 75000</w:t>
            </w:r>
          </w:p>
        </w:tc>
        <w:tc>
          <w:tcPr>
            <w:tcW w:w="1814" w:type="dxa"/>
          </w:tcPr>
          <w:p w:rsidR="008B30B6" w:rsidRDefault="008B30B6">
            <w:pPr>
              <w:pStyle w:val="ConsPlusNormal"/>
              <w:jc w:val="center"/>
            </w:pPr>
            <w:r>
              <w:t>1,3</w:t>
            </w:r>
          </w:p>
        </w:tc>
      </w:tr>
      <w:tr w:rsidR="008B30B6">
        <w:tc>
          <w:tcPr>
            <w:tcW w:w="3175" w:type="dxa"/>
          </w:tcPr>
          <w:p w:rsidR="008B30B6" w:rsidRDefault="008B30B6">
            <w:pPr>
              <w:pStyle w:val="ConsPlusNormal"/>
            </w:pPr>
            <w:r>
              <w:t>от 75001 до 100000</w:t>
            </w:r>
          </w:p>
        </w:tc>
        <w:tc>
          <w:tcPr>
            <w:tcW w:w="1814" w:type="dxa"/>
          </w:tcPr>
          <w:p w:rsidR="008B30B6" w:rsidRDefault="008B30B6">
            <w:pPr>
              <w:pStyle w:val="ConsPlusNormal"/>
              <w:jc w:val="center"/>
            </w:pPr>
            <w:r>
              <w:t>1,2</w:t>
            </w:r>
          </w:p>
        </w:tc>
      </w:tr>
      <w:tr w:rsidR="008B30B6">
        <w:tc>
          <w:tcPr>
            <w:tcW w:w="3175" w:type="dxa"/>
          </w:tcPr>
          <w:p w:rsidR="008B30B6" w:rsidRDefault="008B30B6">
            <w:pPr>
              <w:pStyle w:val="ConsPlusNormal"/>
            </w:pPr>
            <w:r>
              <w:t>от 100001 до 150000</w:t>
            </w:r>
          </w:p>
        </w:tc>
        <w:tc>
          <w:tcPr>
            <w:tcW w:w="1814" w:type="dxa"/>
          </w:tcPr>
          <w:p w:rsidR="008B30B6" w:rsidRDefault="008B30B6">
            <w:pPr>
              <w:pStyle w:val="ConsPlusNormal"/>
              <w:jc w:val="center"/>
            </w:pPr>
            <w:r>
              <w:t>1,1</w:t>
            </w:r>
          </w:p>
        </w:tc>
      </w:tr>
      <w:tr w:rsidR="008B30B6">
        <w:tc>
          <w:tcPr>
            <w:tcW w:w="3175" w:type="dxa"/>
          </w:tcPr>
          <w:p w:rsidR="008B30B6" w:rsidRDefault="008B30B6">
            <w:pPr>
              <w:pStyle w:val="ConsPlusNormal"/>
            </w:pPr>
            <w:r>
              <w:t>свыше 150000</w:t>
            </w:r>
          </w:p>
        </w:tc>
        <w:tc>
          <w:tcPr>
            <w:tcW w:w="1814" w:type="dxa"/>
          </w:tcPr>
          <w:p w:rsidR="008B30B6" w:rsidRDefault="008B30B6">
            <w:pPr>
              <w:pStyle w:val="ConsPlusNormal"/>
              <w:jc w:val="center"/>
            </w:pPr>
            <w:r>
              <w:t>1,0</w:t>
            </w:r>
          </w:p>
        </w:tc>
      </w:tr>
    </w:tbl>
    <w:p w:rsidR="008B30B6" w:rsidRDefault="008B30B6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Республики Дагестан от 30.11.2015 N 102)</w:t>
      </w:r>
    </w:p>
    <w:p w:rsidR="008B30B6" w:rsidRDefault="008B30B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3.4.4 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Республики Дагестан от 27.12.2011 N 87)</w:t>
      </w:r>
    </w:p>
    <w:p w:rsidR="008B30B6" w:rsidRDefault="008B30B6">
      <w:pPr>
        <w:pStyle w:val="ConsPlusNormal"/>
        <w:jc w:val="both"/>
      </w:pPr>
      <w:r>
        <w:t xml:space="preserve">(п. 3.4 в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Республики Дагестан от 23.11.2010 N 68)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3.5. Объем фонда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Объем фонда определяется исходя из разницы в оценках суммарных расходных потребностей и доходных возможностей поселений и корректируется исходя из реальных возможностей республиканского бюджета Республики Дагестан.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Для определения объема фонда (О) используется следующая формула: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 xml:space="preserve">О = (Р - НП) х </w:t>
      </w:r>
      <w:proofErr w:type="spellStart"/>
      <w:r>
        <w:t>К</w:t>
      </w:r>
      <w:r>
        <w:rPr>
          <w:vertAlign w:val="subscript"/>
        </w:rPr>
        <w:t>rv</w:t>
      </w:r>
      <w:proofErr w:type="spellEnd"/>
      <w:r>
        <w:t>, где: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r>
        <w:t>Р - суммарная оценка расходных потребностей органов местного самоуправления поселений;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НП - суммарный прогноз доходов поселений по всем видам местных и закрепленных налоговых и неналоговых доходов;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К</w:t>
      </w:r>
      <w:r>
        <w:rPr>
          <w:vertAlign w:val="subscript"/>
        </w:rPr>
        <w:t>rv</w:t>
      </w:r>
      <w:proofErr w:type="spellEnd"/>
      <w:r>
        <w:t xml:space="preserve"> - поправочный коэффициент исходя из реальных возможностей республиканского бюджета Республики Дагестан.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3.6. Расчет суммарной оценки расходных потребностей на выполнение полномочий муниципальными поселениями на основе расчетной минимальной бюджетной обеспеченности производится по следующей формуле: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</w:t>
      </w:r>
      <w:proofErr w:type="spellEnd"/>
      <w:r>
        <w:t xml:space="preserve"> = SUM </w:t>
      </w:r>
      <w:proofErr w:type="spellStart"/>
      <w:r>
        <w:t>R</w:t>
      </w:r>
      <w:r>
        <w:rPr>
          <w:vertAlign w:val="subscript"/>
        </w:rPr>
        <w:t>i</w:t>
      </w:r>
      <w:proofErr w:type="spellEnd"/>
      <w:r>
        <w:t xml:space="preserve"> х </w:t>
      </w:r>
      <w:proofErr w:type="spellStart"/>
      <w:r>
        <w:t>Н</w:t>
      </w:r>
      <w:r>
        <w:rPr>
          <w:vertAlign w:val="subscript"/>
        </w:rPr>
        <w:t>i</w:t>
      </w:r>
      <w:proofErr w:type="spellEnd"/>
      <w:r>
        <w:t xml:space="preserve"> х </w:t>
      </w:r>
      <w:proofErr w:type="spellStart"/>
      <w:r>
        <w:t>К</w:t>
      </w:r>
      <w:r>
        <w:rPr>
          <w:vertAlign w:val="subscript"/>
        </w:rPr>
        <w:t>i</w:t>
      </w:r>
      <w:proofErr w:type="spellEnd"/>
      <w:r>
        <w:t>, где: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proofErr w:type="spellStart"/>
      <w:r>
        <w:t>Р</w:t>
      </w:r>
      <w:r>
        <w:rPr>
          <w:vertAlign w:val="subscript"/>
        </w:rPr>
        <w:t>i</w:t>
      </w:r>
      <w:proofErr w:type="spellEnd"/>
      <w:r>
        <w:t xml:space="preserve"> - суммарная оценка расходных потребностей на выполнение полномочий муниципальными поселениями;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R</w:t>
      </w:r>
      <w:r>
        <w:rPr>
          <w:vertAlign w:val="subscript"/>
        </w:rPr>
        <w:t>i</w:t>
      </w:r>
      <w:proofErr w:type="spellEnd"/>
      <w:r>
        <w:t xml:space="preserve"> - условно-нормативный расход на одного потребителя услуг по каждому </w:t>
      </w:r>
      <w:r>
        <w:lastRenderedPageBreak/>
        <w:t>принимаемому в расчет разделу функциональной классификации расходов;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Н</w:t>
      </w:r>
      <w:r>
        <w:rPr>
          <w:vertAlign w:val="subscript"/>
        </w:rPr>
        <w:t>i</w:t>
      </w:r>
      <w:proofErr w:type="spellEnd"/>
      <w:r>
        <w:t xml:space="preserve"> - численность населения i-</w:t>
      </w:r>
      <w:proofErr w:type="spellStart"/>
      <w:r>
        <w:t>го</w:t>
      </w:r>
      <w:proofErr w:type="spellEnd"/>
      <w:r>
        <w:t xml:space="preserve"> муниципального поселения. Численность потребителей муниципальных услуг определяется на основе данных Территориального органа Федеральной службы государственной статистики по Республике Дагестан. В случае если данные, представленные Территориальным органом Федеральной службы государственной статистики по Республике Дагестан, отличаются от данных </w:t>
      </w:r>
      <w:proofErr w:type="spellStart"/>
      <w:r>
        <w:t>похозяйственного</w:t>
      </w:r>
      <w:proofErr w:type="spellEnd"/>
      <w:r>
        <w:t xml:space="preserve"> учета, подтвержденных Территориальным органом Федеральной службы государственной статистики по Республике Дагестан, то при расчете индекса бюджетных расходов могут применяться данные по численности населения, отличные от официальных данных статистического учета;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К</w:t>
      </w:r>
      <w:r>
        <w:rPr>
          <w:vertAlign w:val="subscript"/>
        </w:rPr>
        <w:t>i</w:t>
      </w:r>
      <w:proofErr w:type="spellEnd"/>
      <w:r>
        <w:t xml:space="preserve"> - поправочные коэффициенты.".</w:t>
      </w:r>
    </w:p>
    <w:p w:rsidR="008B30B6" w:rsidRDefault="008B30B6">
      <w:pPr>
        <w:pStyle w:val="ConsPlusNormal"/>
        <w:jc w:val="both"/>
      </w:pPr>
      <w:r>
        <w:t xml:space="preserve">(п. 3.6 в ред. </w:t>
      </w:r>
      <w:hyperlink r:id="rId52" w:history="1">
        <w:r>
          <w:rPr>
            <w:color w:val="0000FF"/>
          </w:rPr>
          <w:t>Закона</w:t>
        </w:r>
      </w:hyperlink>
      <w:r>
        <w:t xml:space="preserve"> Республики Дагестан от 23.11.2010 N 68)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3.7. Размер дотации муниципальному поселению из фонда определяется по следующей формуле: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proofErr w:type="spellStart"/>
      <w:r>
        <w:t>Д</w:t>
      </w:r>
      <w:r>
        <w:rPr>
          <w:vertAlign w:val="subscript"/>
        </w:rPr>
        <w:t>i</w:t>
      </w:r>
      <w:proofErr w:type="spellEnd"/>
      <w:r>
        <w:t xml:space="preserve"> = </w:t>
      </w:r>
      <w:proofErr w:type="spellStart"/>
      <w:r>
        <w:t>Р</w:t>
      </w:r>
      <w:r>
        <w:rPr>
          <w:vertAlign w:val="subscript"/>
        </w:rPr>
        <w:t>i</w:t>
      </w:r>
      <w:proofErr w:type="spellEnd"/>
      <w:r>
        <w:t xml:space="preserve"> - </w:t>
      </w:r>
      <w:proofErr w:type="spellStart"/>
      <w:r>
        <w:t>НП</w:t>
      </w:r>
      <w:r>
        <w:rPr>
          <w:vertAlign w:val="subscript"/>
        </w:rPr>
        <w:t>i</w:t>
      </w:r>
      <w:proofErr w:type="spellEnd"/>
      <w:r>
        <w:t>, где: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proofErr w:type="spellStart"/>
      <w:r>
        <w:t>Д</w:t>
      </w:r>
      <w:r>
        <w:rPr>
          <w:vertAlign w:val="subscript"/>
        </w:rPr>
        <w:t>i</w:t>
      </w:r>
      <w:proofErr w:type="spellEnd"/>
      <w:r>
        <w:t xml:space="preserve"> - дотация i-</w:t>
      </w:r>
      <w:proofErr w:type="spellStart"/>
      <w:r>
        <w:t>му</w:t>
      </w:r>
      <w:proofErr w:type="spellEnd"/>
      <w:r>
        <w:t xml:space="preserve"> муниципальному поселению;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Р</w:t>
      </w:r>
      <w:r>
        <w:rPr>
          <w:vertAlign w:val="subscript"/>
        </w:rPr>
        <w:t>i</w:t>
      </w:r>
      <w:proofErr w:type="spellEnd"/>
      <w:r>
        <w:t xml:space="preserve"> - суммарная оценка расходных потребностей на выполнение полномочий i-м муниципальным поселением;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НП</w:t>
      </w:r>
      <w:r>
        <w:rPr>
          <w:vertAlign w:val="subscript"/>
        </w:rPr>
        <w:t>i</w:t>
      </w:r>
      <w:proofErr w:type="spellEnd"/>
      <w:r>
        <w:t xml:space="preserve"> - налоговый потенциал i-</w:t>
      </w:r>
      <w:proofErr w:type="spellStart"/>
      <w:r>
        <w:t>го</w:t>
      </w:r>
      <w:proofErr w:type="spellEnd"/>
      <w:r>
        <w:t xml:space="preserve"> муниципального поселения.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3.8. Критерий выравнивания расчетной бюджетной обеспеченности поселений рассчитывается по следующей формуле: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proofErr w:type="spellStart"/>
      <w:r>
        <w:t>Квр</w:t>
      </w:r>
      <w:r>
        <w:rPr>
          <w:vertAlign w:val="subscript"/>
        </w:rPr>
        <w:t>пос</w:t>
      </w:r>
      <w:proofErr w:type="spellEnd"/>
      <w:r>
        <w:t xml:space="preserve"> = (БО</w:t>
      </w:r>
      <w:r>
        <w:rPr>
          <w:vertAlign w:val="subscript"/>
        </w:rPr>
        <w:t>5min</w:t>
      </w:r>
      <w:r>
        <w:t xml:space="preserve"> + БО</w:t>
      </w:r>
      <w:r>
        <w:rPr>
          <w:vertAlign w:val="subscript"/>
        </w:rPr>
        <w:t>5max</w:t>
      </w:r>
      <w:r>
        <w:t xml:space="preserve">) / 2 x </w:t>
      </w:r>
      <w:proofErr w:type="spellStart"/>
      <w:r>
        <w:t>К</w:t>
      </w:r>
      <w:r>
        <w:rPr>
          <w:vertAlign w:val="subscript"/>
        </w:rPr>
        <w:t>кор</w:t>
      </w:r>
      <w:proofErr w:type="spellEnd"/>
      <w:r>
        <w:t>, где: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ind w:firstLine="540"/>
        <w:jc w:val="both"/>
      </w:pPr>
      <w:proofErr w:type="spellStart"/>
      <w:r>
        <w:t>Квр</w:t>
      </w:r>
      <w:r>
        <w:rPr>
          <w:vertAlign w:val="subscript"/>
        </w:rPr>
        <w:t>пос</w:t>
      </w:r>
      <w:proofErr w:type="spellEnd"/>
      <w:r>
        <w:t xml:space="preserve"> - критерий выравнивания расчетной бюджетной обеспеченности поселений;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БО</w:t>
      </w:r>
      <w:r>
        <w:rPr>
          <w:vertAlign w:val="subscript"/>
        </w:rPr>
        <w:t>5min</w:t>
      </w:r>
      <w:r>
        <w:t xml:space="preserve"> - среднеарифметическое значение бюджетной обеспеченности пяти наименее обеспеченных поселений;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БО</w:t>
      </w:r>
      <w:r>
        <w:rPr>
          <w:vertAlign w:val="subscript"/>
        </w:rPr>
        <w:t>5max</w:t>
      </w:r>
      <w:r>
        <w:t xml:space="preserve"> - среднеарифметическое значение бюджетной обеспеченности пяти наиболее обеспеченных поселений;</w:t>
      </w:r>
    </w:p>
    <w:p w:rsidR="008B30B6" w:rsidRDefault="008B30B6">
      <w:pPr>
        <w:pStyle w:val="ConsPlusNormal"/>
        <w:spacing w:before="280"/>
        <w:ind w:firstLine="540"/>
        <w:jc w:val="both"/>
      </w:pPr>
      <w:proofErr w:type="spellStart"/>
      <w:r>
        <w:t>К</w:t>
      </w:r>
      <w:r>
        <w:rPr>
          <w:vertAlign w:val="subscript"/>
        </w:rPr>
        <w:t>кор</w:t>
      </w:r>
      <w:proofErr w:type="spellEnd"/>
      <w:r>
        <w:t xml:space="preserve"> - коэффициент корректировки, устанавливаемый приказом Министерства финансов Республики Дагестан при формировании республиканского бюджета на очередной финансовый год и плановый период и применяемый для установления критерия выравнивания расчетной бюджетной </w:t>
      </w:r>
      <w:r>
        <w:lastRenderedPageBreak/>
        <w:t>обеспеченности.</w:t>
      </w:r>
    </w:p>
    <w:p w:rsidR="008B30B6" w:rsidRDefault="008B30B6">
      <w:pPr>
        <w:pStyle w:val="ConsPlusNormal"/>
        <w:jc w:val="both"/>
      </w:pPr>
      <w:r>
        <w:t xml:space="preserve">(п. 3.8 введен </w:t>
      </w:r>
      <w:hyperlink r:id="rId53" w:history="1">
        <w:r>
          <w:rPr>
            <w:color w:val="0000FF"/>
          </w:rPr>
          <w:t>Законом</w:t>
        </w:r>
      </w:hyperlink>
      <w:r>
        <w:t xml:space="preserve"> Республики Дагестан от 30.11.2015 N 102)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3.9. Объем дотации принимается равным утвержденному объему дотации на первый год планового периода в бюджете на текущий финансовый год и плановый период, если рассчитанный объем дотации i-</w:t>
      </w:r>
      <w:proofErr w:type="spellStart"/>
      <w:r>
        <w:t>му</w:t>
      </w:r>
      <w:proofErr w:type="spellEnd"/>
      <w:r>
        <w:t xml:space="preserve"> муниципальному поселению (внутригородскому району) на очередной финансовый год меньше утвержденного законом о республиканском бюджете Республики Дагестан на текущий финансовый год и плановый период объема дотации на первый год планового периода, за исключением случаев, установленных Бюджетным </w:t>
      </w:r>
      <w:hyperlink r:id="rId54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8B30B6" w:rsidRDefault="008B30B6">
      <w:pPr>
        <w:pStyle w:val="ConsPlusNormal"/>
        <w:spacing w:before="280"/>
        <w:ind w:firstLine="540"/>
        <w:jc w:val="both"/>
      </w:pPr>
      <w:r>
        <w:t>Объем дотации принимается равным утвержденному объему дотации на второй год планового периода в бюджете на текущий финансовый год и плановый период, если рассчитанный объем дотации i-</w:t>
      </w:r>
      <w:proofErr w:type="spellStart"/>
      <w:r>
        <w:t>му</w:t>
      </w:r>
      <w:proofErr w:type="spellEnd"/>
      <w:r>
        <w:t xml:space="preserve"> муниципальному поселению (внутригородскому району) на первый год планового периода меньше утвержденного законом о республиканском бюджете Республики Дагестан на текущий финансовый год и плановый период объема дотации на второй год планового периода, за исключением случаев, установленных Бюджетным </w:t>
      </w:r>
      <w:hyperlink r:id="rId55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8B30B6" w:rsidRDefault="008B30B6">
      <w:pPr>
        <w:pStyle w:val="ConsPlusNormal"/>
        <w:jc w:val="both"/>
      </w:pPr>
      <w:r>
        <w:t xml:space="preserve">(п. 3.9 введен </w:t>
      </w:r>
      <w:hyperlink r:id="rId56" w:history="1">
        <w:r>
          <w:rPr>
            <w:color w:val="0000FF"/>
          </w:rPr>
          <w:t>Законом</w:t>
        </w:r>
      </w:hyperlink>
      <w:r>
        <w:t xml:space="preserve"> Республики Дагестан от 29.12.2017 N 111)</w:t>
      </w: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jc w:val="both"/>
      </w:pPr>
    </w:p>
    <w:p w:rsidR="008B30B6" w:rsidRDefault="008B30B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1D1A" w:rsidRDefault="002E1D1A"/>
    <w:sectPr w:rsidR="002E1D1A" w:rsidSect="000F252D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B6"/>
    <w:rsid w:val="002E1D1A"/>
    <w:rsid w:val="005A4F3C"/>
    <w:rsid w:val="008B30B6"/>
    <w:rsid w:val="00A01AEA"/>
    <w:rsid w:val="00C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2F54E-94CE-4196-8056-6D3975BA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0B6"/>
    <w:pPr>
      <w:widowControl w:val="0"/>
      <w:autoSpaceDE w:val="0"/>
      <w:autoSpaceDN w:val="0"/>
      <w:ind w:firstLine="0"/>
      <w:jc w:val="left"/>
    </w:pPr>
    <w:rPr>
      <w:rFonts w:eastAsia="Times New Roman"/>
      <w:color w:val="auto"/>
      <w:szCs w:val="20"/>
      <w:lang w:eastAsia="ru-RU"/>
    </w:rPr>
  </w:style>
  <w:style w:type="paragraph" w:customStyle="1" w:styleId="ConsPlusTitle">
    <w:name w:val="ConsPlusTitle"/>
    <w:rsid w:val="008B30B6"/>
    <w:pPr>
      <w:widowControl w:val="0"/>
      <w:autoSpaceDE w:val="0"/>
      <w:autoSpaceDN w:val="0"/>
      <w:ind w:firstLine="0"/>
      <w:jc w:val="left"/>
    </w:pPr>
    <w:rPr>
      <w:rFonts w:eastAsia="Times New Roman"/>
      <w:b/>
      <w:color w:val="auto"/>
      <w:szCs w:val="20"/>
      <w:lang w:eastAsia="ru-RU"/>
    </w:rPr>
  </w:style>
  <w:style w:type="paragraph" w:customStyle="1" w:styleId="ConsPlusTitlePage">
    <w:name w:val="ConsPlusTitlePage"/>
    <w:rsid w:val="008B30B6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44F0F07E426695D6116057968AB5790BEA1DB8339D72CD565894E5643497F8CBD69B9FBB3C8D1F06BD37BhBtCI" TargetMode="External"/><Relationship Id="rId18" Type="http://schemas.openxmlformats.org/officeDocument/2006/relationships/hyperlink" Target="consultantplus://offline/ref=A44F0F07E426695D6116057968AB5790BEA1DB8339D72CD565894E5643497F8CBD69B9FBB3C8D1F06BD37AhBtBI" TargetMode="External"/><Relationship Id="rId26" Type="http://schemas.openxmlformats.org/officeDocument/2006/relationships/hyperlink" Target="consultantplus://offline/ref=A44F0F07E426695D6116057968AB5790BEA1DB8339D72CD565894E5643497F8CBD69B9FBB3C8D1F06BD37AhBtCI" TargetMode="External"/><Relationship Id="rId39" Type="http://schemas.openxmlformats.org/officeDocument/2006/relationships/hyperlink" Target="consultantplus://offline/ref=A44F0F07E426695D6116057968AB5790BEA1DB8338D529DE65894E5643497F8CBD69B9FBB3C8D1F06BD57AhBtDI" TargetMode="External"/><Relationship Id="rId21" Type="http://schemas.openxmlformats.org/officeDocument/2006/relationships/hyperlink" Target="consultantplus://offline/ref=A44F0F07E426695D6116057968AB5790BEA1DB8339D72CD565894E5643497F8CBD69B9FBB3C8D1F06BD37AhBtBI" TargetMode="External"/><Relationship Id="rId34" Type="http://schemas.openxmlformats.org/officeDocument/2006/relationships/hyperlink" Target="consultantplus://offline/ref=A44F0F07E426695D6116057968AB5790BEA1DB8338D22AD86B894E5643497F8CBD69B9FBB3C8D1F06BD278hBt3I" TargetMode="External"/><Relationship Id="rId42" Type="http://schemas.openxmlformats.org/officeDocument/2006/relationships/hyperlink" Target="consultantplus://offline/ref=A44F0F07E426695D6116057968AB5790BEA1DB833DDD2ED566D4445E1A457D8BB236AEFCFAC4D0F06BD6h7tBI" TargetMode="External"/><Relationship Id="rId47" Type="http://schemas.openxmlformats.org/officeDocument/2006/relationships/hyperlink" Target="consultantplus://offline/ref=A44F0F07E426695D6116057968AB5790BEA1DB8339D72CD565894E5643497F8CBD69B9FBB3C8D1F06BD378hBt3I" TargetMode="External"/><Relationship Id="rId50" Type="http://schemas.openxmlformats.org/officeDocument/2006/relationships/hyperlink" Target="consultantplus://offline/ref=A44F0F07E426695D6116057968AB5790BEA1DB833BD12ED86C894E5643497F8CBD69B9FBB3C8D1F06BD279hBtDI" TargetMode="External"/><Relationship Id="rId55" Type="http://schemas.openxmlformats.org/officeDocument/2006/relationships/hyperlink" Target="consultantplus://offline/ref=57F0BBF60BE4DA02E7C49F52C97EF87E26C92AF8DA2C0755636FF50E6DiCt1I" TargetMode="External"/><Relationship Id="rId7" Type="http://schemas.openxmlformats.org/officeDocument/2006/relationships/hyperlink" Target="consultantplus://offline/ref=A44F0F07E426695D6116057968AB5790BEA1DB833BD72FDF65894E5643497F8CBD69B9FBB3C8D1F06BD27EhBtCI" TargetMode="External"/><Relationship Id="rId12" Type="http://schemas.openxmlformats.org/officeDocument/2006/relationships/hyperlink" Target="consultantplus://offline/ref=A44F0F07E426695D6116057968AB5790BEA1DB8339D72CD565894E5643497F8CBD69B9FBB3C8D1F06BD37BhBtEI" TargetMode="External"/><Relationship Id="rId17" Type="http://schemas.openxmlformats.org/officeDocument/2006/relationships/hyperlink" Target="consultantplus://offline/ref=A44F0F07E426695D6116057968AB5790BEA1DB8339D72CD565894E5643497F8CBD69B9FBB3C8D1F06BD37AhBtAI" TargetMode="External"/><Relationship Id="rId25" Type="http://schemas.openxmlformats.org/officeDocument/2006/relationships/hyperlink" Target="consultantplus://offline/ref=A44F0F07E426695D6116057968AB5790BEA1DB8339D72CD565894E5643497F8CBD69B9FBB3C8D1F06BD37AhBtFI" TargetMode="External"/><Relationship Id="rId33" Type="http://schemas.openxmlformats.org/officeDocument/2006/relationships/hyperlink" Target="consultantplus://offline/ref=A44F0F07E426695D6116057968AB5790BEA1DB833BD12ED86C894E5643497F8CBD69B9FBB3C8D1F06BD279hBtFI" TargetMode="External"/><Relationship Id="rId38" Type="http://schemas.openxmlformats.org/officeDocument/2006/relationships/hyperlink" Target="consultantplus://offline/ref=A44F0F07E426695D61161B747EC70A99BAA2828E3AD4268B31D6150B144075DBFA26E0B9F7C5D7F0h6tDI" TargetMode="External"/><Relationship Id="rId46" Type="http://schemas.openxmlformats.org/officeDocument/2006/relationships/hyperlink" Target="consultantplus://offline/ref=A44F0F07E426695D6116057968AB5790BEA1DB8339D72CD565894E5643497F8CBD69B9FBB3C8D1F06BD379hBtA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44F0F07E426695D6116057968AB5790BEA1DB8339D72CD565894E5643497F8CBD69B9FBB3C8D1F06BD37BhBt2I" TargetMode="External"/><Relationship Id="rId20" Type="http://schemas.openxmlformats.org/officeDocument/2006/relationships/hyperlink" Target="consultantplus://offline/ref=A44F0F07E426695D6116057968AB5790BEA1DB8339D72CD565894E5643497F8CBD69B9FBB3C8D1F06BD37AhBtBI" TargetMode="External"/><Relationship Id="rId29" Type="http://schemas.openxmlformats.org/officeDocument/2006/relationships/hyperlink" Target="consultantplus://offline/ref=A44F0F07E426695D6116057968AB5790BEA1DB833CDC28D466D4445E1A457D8BB236AEFCFAC4D0F069D3h7tCI" TargetMode="External"/><Relationship Id="rId41" Type="http://schemas.openxmlformats.org/officeDocument/2006/relationships/hyperlink" Target="consultantplus://offline/ref=A44F0F07E426695D6116057968AB5790BEA1DB8338D424DA6A894E5643497F8CBD69B9FBB3C8D1F06BD278hBt3I" TargetMode="External"/><Relationship Id="rId54" Type="http://schemas.openxmlformats.org/officeDocument/2006/relationships/hyperlink" Target="consultantplus://offline/ref=57F0BBF60BE4DA02E7C49F52C97EF87E26C92AF8DA2C0755636FF50E6DiCt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44F0F07E426695D6116057968AB5790BEA1DB8338D424DA6A894E5643497F8CBD69B9FBB3C8D1F06BD278hBtFI" TargetMode="External"/><Relationship Id="rId11" Type="http://schemas.openxmlformats.org/officeDocument/2006/relationships/hyperlink" Target="consultantplus://offline/ref=A44F0F07E426695D61161B747EC70A99BAA8858B3BDD268B31D6150B144075DBFA26E0BAF7CChDt9I" TargetMode="External"/><Relationship Id="rId24" Type="http://schemas.openxmlformats.org/officeDocument/2006/relationships/hyperlink" Target="consultantplus://offline/ref=A44F0F07E426695D6116057968AB5790BEA1DB8339D72CD565894E5643497F8CBD69B9FBB3C8D1F06BD37AhBt9I" TargetMode="External"/><Relationship Id="rId32" Type="http://schemas.openxmlformats.org/officeDocument/2006/relationships/hyperlink" Target="consultantplus://offline/ref=A44F0F07E426695D6116057968AB5790BEA1DB833BD72FDF65894E5643497F8CBD69B9FBB3C8D1F06BD27EhBtCI" TargetMode="External"/><Relationship Id="rId37" Type="http://schemas.openxmlformats.org/officeDocument/2006/relationships/hyperlink" Target="consultantplus://offline/ref=A44F0F07E426695D61161B747EC70A99BAA8858B3BDD268B31D6150B14h4t0I" TargetMode="External"/><Relationship Id="rId40" Type="http://schemas.openxmlformats.org/officeDocument/2006/relationships/hyperlink" Target="consultantplus://offline/ref=A44F0F07E426695D6116057968AB5790BEA1DB8338D424DA6A894E5643497F8CBD69B9FBB3C8D1F06BD278hBtDI" TargetMode="External"/><Relationship Id="rId45" Type="http://schemas.openxmlformats.org/officeDocument/2006/relationships/image" Target="media/image2.wmf"/><Relationship Id="rId53" Type="http://schemas.openxmlformats.org/officeDocument/2006/relationships/hyperlink" Target="consultantplus://offline/ref=57F0BBF60BE4DA02E7C4815FDF12A57722C074F0D9230B063930AE533AC8062A85F14EEF5E90C720B13D3Ai2t3I" TargetMode="External"/><Relationship Id="rId58" Type="http://schemas.openxmlformats.org/officeDocument/2006/relationships/theme" Target="theme/theme1.xml"/><Relationship Id="rId5" Type="http://schemas.openxmlformats.org/officeDocument/2006/relationships/hyperlink" Target="consultantplus://offline/ref=A44F0F07E426695D6116057968AB5790BEA1DB833DDD2ED566D4445E1A457D8BB236AEFCFAC4D0F06BD1h7t2I" TargetMode="External"/><Relationship Id="rId15" Type="http://schemas.openxmlformats.org/officeDocument/2006/relationships/hyperlink" Target="consultantplus://offline/ref=A44F0F07E426695D6116057968AB5790BEA1DB8339D72CD565894E5643497F8CBD69B9FBB3C8D1F06BD37BhBt2I" TargetMode="External"/><Relationship Id="rId23" Type="http://schemas.openxmlformats.org/officeDocument/2006/relationships/hyperlink" Target="consultantplus://offline/ref=A44F0F07E426695D6116057968AB5790BEA1DB8339D72CD565894E5643497F8CBD69B9FBB3C8D1F06BD37AhBt9I" TargetMode="External"/><Relationship Id="rId28" Type="http://schemas.openxmlformats.org/officeDocument/2006/relationships/hyperlink" Target="consultantplus://offline/ref=A44F0F07E426695D6116057968AB5790BEA1DB8339D72CD565894E5643497F8CBD69B9FBB3C8D1F06BD37AhBt2I" TargetMode="External"/><Relationship Id="rId36" Type="http://schemas.openxmlformats.org/officeDocument/2006/relationships/hyperlink" Target="consultantplus://offline/ref=A44F0F07E426695D61161B747EC70A99BAA283873CD5268B31D6150B14h4t0I" TargetMode="External"/><Relationship Id="rId49" Type="http://schemas.openxmlformats.org/officeDocument/2006/relationships/hyperlink" Target="consultantplus://offline/ref=A44F0F07E426695D6116057968AB5790BEA1DB8338D22AD86B894E5643497F8CBD69B9FBB3C8D1F06BD27EhBt9I" TargetMode="External"/><Relationship Id="rId57" Type="http://schemas.openxmlformats.org/officeDocument/2006/relationships/fontTable" Target="fontTable.xml"/><Relationship Id="rId10" Type="http://schemas.openxmlformats.org/officeDocument/2006/relationships/hyperlink" Target="consultantplus://offline/ref=A44F0F07E426695D6116057968AB5790BEA1DB8339D72CD565894E5643497F8CBD69B9FBB3C8D1F06BD37BhBt8I" TargetMode="External"/><Relationship Id="rId19" Type="http://schemas.openxmlformats.org/officeDocument/2006/relationships/hyperlink" Target="consultantplus://offline/ref=A44F0F07E426695D6116057968AB5790BEA1DB8339D72CD565894E5643497F8CBD69B9FBB3C8D1F06BD37AhBtBI" TargetMode="External"/><Relationship Id="rId31" Type="http://schemas.openxmlformats.org/officeDocument/2006/relationships/hyperlink" Target="consultantplus://offline/ref=A44F0F07E426695D6116057968AB5790BEA1DB8338D424DA6A894E5643497F8CBD69B9FBB3C8D1F06BD278hBtFI" TargetMode="External"/><Relationship Id="rId44" Type="http://schemas.openxmlformats.org/officeDocument/2006/relationships/image" Target="media/image1.wmf"/><Relationship Id="rId52" Type="http://schemas.openxmlformats.org/officeDocument/2006/relationships/hyperlink" Target="consultantplus://offline/ref=A44F0F07E426695D6116057968AB5790BEA1DB833BD72FDF65894E5643497F8CBD69B9FBB3C8D1F06BD273hBtDI" TargetMode="External"/><Relationship Id="rId4" Type="http://schemas.openxmlformats.org/officeDocument/2006/relationships/hyperlink" Target="consultantplus://offline/ref=A44F0F07E426695D6116057968AB5790BEA1DB833CDC28D466D4445E1A457D8BB236AEFCFAC4D0F069D3h7tCI" TargetMode="External"/><Relationship Id="rId9" Type="http://schemas.openxmlformats.org/officeDocument/2006/relationships/hyperlink" Target="consultantplus://offline/ref=A44F0F07E426695D6116057968AB5790BEA1DB8338D22AD86B894E5643497F8CBD69B9FBB3C8D1F06BD278hBt3I" TargetMode="External"/><Relationship Id="rId14" Type="http://schemas.openxmlformats.org/officeDocument/2006/relationships/hyperlink" Target="consultantplus://offline/ref=A44F0F07E426695D6116057968AB5790BEA1DB8339D72CD565894E5643497F8CBD69B9FBB3C8D1F06BD37BhBtDI" TargetMode="External"/><Relationship Id="rId22" Type="http://schemas.openxmlformats.org/officeDocument/2006/relationships/hyperlink" Target="consultantplus://offline/ref=A44F0F07E426695D6116057968AB5790BEA1DB8339D72CD565894E5643497F8CBD69B9FBB3C8D1F06BD37AhBt8I" TargetMode="External"/><Relationship Id="rId27" Type="http://schemas.openxmlformats.org/officeDocument/2006/relationships/hyperlink" Target="consultantplus://offline/ref=A44F0F07E426695D6116057968AB5790BEA1DB8339D72CD565894E5643497F8CBD69B9FBB3C8D1F06BD37AhBtDI" TargetMode="External"/><Relationship Id="rId30" Type="http://schemas.openxmlformats.org/officeDocument/2006/relationships/hyperlink" Target="consultantplus://offline/ref=A44F0F07E426695D6116057968AB5790BEA1DB833DDD2ED566D4445E1A457D8BB236AEFCFAC4D0F06BD1h7t2I" TargetMode="External"/><Relationship Id="rId35" Type="http://schemas.openxmlformats.org/officeDocument/2006/relationships/hyperlink" Target="consultantplus://offline/ref=A44F0F07E426695D6116057968AB5790BEA1DB8339D72CD565894E5643497F8CBD69B9FBB3C8D1F06BD37AhBt3I" TargetMode="External"/><Relationship Id="rId43" Type="http://schemas.openxmlformats.org/officeDocument/2006/relationships/hyperlink" Target="consultantplus://offline/ref=A44F0F07E426695D6116057968AB5790BEA1DB833BD12ED86C894E5643497F8CBD69B9FBB3C8D1F06BD279hBtCI" TargetMode="External"/><Relationship Id="rId48" Type="http://schemas.openxmlformats.org/officeDocument/2006/relationships/hyperlink" Target="consultantplus://offline/ref=A44F0F07E426695D6116057968AB5790BEA1DB8339D72CD565894E5643497F8CBD69B9FBB3C8D1F06BD37FhBt2I" TargetMode="External"/><Relationship Id="rId56" Type="http://schemas.openxmlformats.org/officeDocument/2006/relationships/hyperlink" Target="consultantplus://offline/ref=57F0BBF60BE4DA02E7C4815FDF12A57722C074F0D8260D0B3730AE533AC8062A85F14EEF5E90C720B13C39i2t6I" TargetMode="External"/><Relationship Id="rId8" Type="http://schemas.openxmlformats.org/officeDocument/2006/relationships/hyperlink" Target="consultantplus://offline/ref=A44F0F07E426695D6116057968AB5790BEA1DB833BD12ED86C894E5643497F8CBD69B9FBB3C8D1F06BD279hBtFI" TargetMode="External"/><Relationship Id="rId51" Type="http://schemas.openxmlformats.org/officeDocument/2006/relationships/hyperlink" Target="consultantplus://offline/ref=A44F0F07E426695D6116057968AB5790BEA1DB833BD72FDF65894E5643497F8CBD69B9FBB3C8D1F06BD27EhBtDI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4570</Words>
  <Characters>26049</Characters>
  <Application>Microsoft Office Word</Application>
  <DocSecurity>0</DocSecurity>
  <Lines>217</Lines>
  <Paragraphs>61</Paragraphs>
  <ScaleCrop>false</ScaleCrop>
  <Company>SPecialiST RePack</Company>
  <LinksUpToDate>false</LinksUpToDate>
  <CharactersWithSpaces>30558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Караченцев</dc:creator>
  <cp:keywords/>
  <dc:description/>
  <cp:lastModifiedBy>Сергей Караченцев</cp:lastModifiedBy>
  <cp:revision>1</cp:revision>
  <dcterms:created xsi:type="dcterms:W3CDTF">2018-02-22T08:45:00Z</dcterms:created>
  <dcterms:modified xsi:type="dcterms:W3CDTF">2018-02-22T08:46:00Z</dcterms:modified>
</cp:coreProperties>
</file>