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BE1" w:rsidRDefault="00067BE1">
      <w:pPr>
        <w:pStyle w:val="ConsPlusTitlePage"/>
      </w:pPr>
      <w:bookmarkStart w:id="0" w:name="_GoBack"/>
      <w:bookmarkEnd w:id="0"/>
    </w:p>
    <w:p w:rsidR="00067BE1" w:rsidRDefault="00067BE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67BE1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67BE1" w:rsidRDefault="00067BE1">
            <w:pPr>
              <w:pStyle w:val="ConsPlusNormal"/>
              <w:outlineLvl w:val="0"/>
            </w:pPr>
            <w:r>
              <w:t>20 июня 2016 года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67BE1" w:rsidRDefault="00067BE1">
            <w:pPr>
              <w:pStyle w:val="ConsPlusNormal"/>
              <w:jc w:val="right"/>
              <w:outlineLvl w:val="0"/>
            </w:pPr>
            <w:r>
              <w:t>N 46</w:t>
            </w:r>
          </w:p>
        </w:tc>
      </w:tr>
    </w:tbl>
    <w:p w:rsidR="00067BE1" w:rsidRDefault="00067B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7BE1" w:rsidRDefault="00067BE1">
      <w:pPr>
        <w:pStyle w:val="ConsPlusNormal"/>
        <w:jc w:val="both"/>
      </w:pPr>
    </w:p>
    <w:p w:rsidR="00067BE1" w:rsidRDefault="00067BE1">
      <w:pPr>
        <w:pStyle w:val="ConsPlusTitle"/>
        <w:jc w:val="center"/>
      </w:pPr>
      <w:r>
        <w:t>РЕСПУБЛИКА ДАГЕСТАН</w:t>
      </w:r>
    </w:p>
    <w:p w:rsidR="00067BE1" w:rsidRDefault="00067BE1">
      <w:pPr>
        <w:pStyle w:val="ConsPlusTitle"/>
        <w:jc w:val="center"/>
      </w:pPr>
    </w:p>
    <w:p w:rsidR="00067BE1" w:rsidRDefault="00067BE1">
      <w:pPr>
        <w:pStyle w:val="ConsPlusTitle"/>
        <w:jc w:val="center"/>
      </w:pPr>
      <w:r>
        <w:t>ЗАКОН</w:t>
      </w:r>
    </w:p>
    <w:p w:rsidR="00067BE1" w:rsidRDefault="00067BE1">
      <w:pPr>
        <w:pStyle w:val="ConsPlusTitle"/>
        <w:jc w:val="center"/>
      </w:pPr>
    </w:p>
    <w:p w:rsidR="00067BE1" w:rsidRDefault="00067BE1">
      <w:pPr>
        <w:pStyle w:val="ConsPlusTitle"/>
        <w:jc w:val="center"/>
      </w:pPr>
      <w:r>
        <w:t>О ПОРЯДКЕ ОПРЕДЕЛЕНИЯ ОБЪЕМОВ ОКРУЖНЫХ ФОНДОВ ФИНАНСОВОЙ</w:t>
      </w:r>
    </w:p>
    <w:p w:rsidR="00067BE1" w:rsidRDefault="00067BE1">
      <w:pPr>
        <w:pStyle w:val="ConsPlusTitle"/>
        <w:jc w:val="center"/>
      </w:pPr>
      <w:r>
        <w:t>ПОДДЕРЖКИ ВНУТРИГОРОДСКИХ РАЙОНОВ И РАСПРЕДЕЛЕНИЯ ДОТАЦИЙ</w:t>
      </w:r>
    </w:p>
    <w:p w:rsidR="00067BE1" w:rsidRDefault="00067BE1">
      <w:pPr>
        <w:pStyle w:val="ConsPlusTitle"/>
        <w:jc w:val="center"/>
      </w:pPr>
      <w:r>
        <w:t>НА ВЫРАВНИВАНИЕ БЮДЖЕТНОЙ ОБЕСПЕЧЕННОСТИ ВНУТРИГОРОДСКИХ</w:t>
      </w:r>
    </w:p>
    <w:p w:rsidR="00067BE1" w:rsidRDefault="00067BE1">
      <w:pPr>
        <w:pStyle w:val="ConsPlusTitle"/>
        <w:jc w:val="center"/>
      </w:pPr>
      <w:r>
        <w:t>РАЙОНОВ ИЗ БЮДЖЕТОВ ГОРОДСКИХ ОКРУГОВ С ВНУТРИГОРОДСКИМ</w:t>
      </w:r>
    </w:p>
    <w:p w:rsidR="00067BE1" w:rsidRDefault="00067BE1">
      <w:pPr>
        <w:pStyle w:val="ConsPlusTitle"/>
        <w:jc w:val="center"/>
      </w:pPr>
      <w:r>
        <w:t>ДЕЛЕНИЕМ РЕСПУБЛИКИ ДАГЕСТАН</w:t>
      </w:r>
    </w:p>
    <w:p w:rsidR="00067BE1" w:rsidRDefault="00067BE1">
      <w:pPr>
        <w:pStyle w:val="ConsPlusNormal"/>
        <w:jc w:val="both"/>
      </w:pPr>
    </w:p>
    <w:p w:rsidR="00067BE1" w:rsidRDefault="00067BE1">
      <w:pPr>
        <w:pStyle w:val="ConsPlusNormal"/>
        <w:jc w:val="right"/>
      </w:pPr>
      <w:r>
        <w:t>Принят Народным Собранием</w:t>
      </w:r>
    </w:p>
    <w:p w:rsidR="00067BE1" w:rsidRDefault="00067BE1">
      <w:pPr>
        <w:pStyle w:val="ConsPlusNormal"/>
        <w:jc w:val="right"/>
      </w:pPr>
      <w:r>
        <w:t>Республики Дагестан</w:t>
      </w:r>
    </w:p>
    <w:p w:rsidR="00067BE1" w:rsidRDefault="00067BE1">
      <w:pPr>
        <w:pStyle w:val="ConsPlusNormal"/>
        <w:jc w:val="right"/>
      </w:pPr>
      <w:r>
        <w:t>9 июня 2016 года</w:t>
      </w:r>
    </w:p>
    <w:p w:rsidR="00067BE1" w:rsidRDefault="00067BE1">
      <w:pPr>
        <w:pStyle w:val="ConsPlusNormal"/>
        <w:jc w:val="both"/>
      </w:pPr>
    </w:p>
    <w:p w:rsidR="00067BE1" w:rsidRDefault="00067BE1">
      <w:pPr>
        <w:pStyle w:val="ConsPlusNormal"/>
        <w:ind w:firstLine="540"/>
        <w:jc w:val="both"/>
        <w:outlineLvl w:val="1"/>
      </w:pPr>
      <w:r>
        <w:t>Статья 1. Предмет регулирования настоящего Закона</w:t>
      </w:r>
    </w:p>
    <w:p w:rsidR="00067BE1" w:rsidRDefault="00067BE1">
      <w:pPr>
        <w:pStyle w:val="ConsPlusNormal"/>
        <w:jc w:val="both"/>
      </w:pPr>
    </w:p>
    <w:p w:rsidR="00067BE1" w:rsidRDefault="00067BE1">
      <w:pPr>
        <w:pStyle w:val="ConsPlusNormal"/>
        <w:ind w:firstLine="540"/>
        <w:jc w:val="both"/>
      </w:pPr>
      <w:r>
        <w:t xml:space="preserve">Настоящий Закон в соответствии с </w:t>
      </w:r>
      <w:hyperlink r:id="rId4" w:history="1">
        <w:r>
          <w:rPr>
            <w:color w:val="0000FF"/>
          </w:rPr>
          <w:t>пунктом 2 статьи 142.8</w:t>
        </w:r>
      </w:hyperlink>
      <w:r>
        <w:t xml:space="preserve"> Бюджетного кодекса Российской Федерации устанавливает порядок определения объемов окружных фондов финансовой поддержки внутригородских районов и распределения дотаций на выравнивание бюджетной обеспеченности внутригородских районов из бюджета городского округа с внутригородским делением Республики Дагестан (далее - городской округ с внутригородским делением).</w:t>
      </w:r>
    </w:p>
    <w:p w:rsidR="00067BE1" w:rsidRDefault="00067BE1">
      <w:pPr>
        <w:pStyle w:val="ConsPlusNormal"/>
        <w:jc w:val="both"/>
      </w:pPr>
    </w:p>
    <w:p w:rsidR="00067BE1" w:rsidRDefault="00067BE1">
      <w:pPr>
        <w:pStyle w:val="ConsPlusNormal"/>
        <w:ind w:firstLine="540"/>
        <w:jc w:val="both"/>
        <w:outlineLvl w:val="1"/>
      </w:pPr>
      <w:r>
        <w:t>Статья 2. Окружной фонд финансовой поддержки внутригородских районов</w:t>
      </w:r>
    </w:p>
    <w:p w:rsidR="00067BE1" w:rsidRDefault="00067BE1">
      <w:pPr>
        <w:pStyle w:val="ConsPlusNormal"/>
        <w:jc w:val="both"/>
      </w:pPr>
    </w:p>
    <w:p w:rsidR="00067BE1" w:rsidRDefault="00067BE1">
      <w:pPr>
        <w:pStyle w:val="ConsPlusNormal"/>
        <w:ind w:firstLine="540"/>
        <w:jc w:val="both"/>
      </w:pPr>
      <w:r>
        <w:t>1. Окружной фонд финансовой поддержки внутригородских районов (далее - фонд) образуется в составе бюджета городского округа с внутригородским делением с целью выравнивания уровня бюджетной обеспеченности внутригородских районов по исполнению своих полномочий в решении вопросов местного значения в пределах финансовой помощи, получаемой из республиканского бюджета Республики Дагестан, налоговых и неналоговых доходов бюджета городского округа с внутригородским делением.</w:t>
      </w:r>
    </w:p>
    <w:p w:rsidR="00067BE1" w:rsidRDefault="00067BE1">
      <w:pPr>
        <w:pStyle w:val="ConsPlusNormal"/>
        <w:spacing w:before="280"/>
        <w:ind w:firstLine="540"/>
        <w:jc w:val="both"/>
      </w:pPr>
      <w:r>
        <w:t xml:space="preserve">2. Объем фонда утверждается решением представительного органа городского округа с внутригородским делением о бюджете городского округа с </w:t>
      </w:r>
      <w:r>
        <w:lastRenderedPageBreak/>
        <w:t>внутригородским делением на очередной финансовый год (очередной финансовый год и плановый период).</w:t>
      </w:r>
    </w:p>
    <w:p w:rsidR="00067BE1" w:rsidRDefault="00067BE1">
      <w:pPr>
        <w:pStyle w:val="ConsPlusNormal"/>
        <w:spacing w:before="280"/>
        <w:ind w:firstLine="540"/>
        <w:jc w:val="both"/>
      </w:pPr>
      <w:r>
        <w:t>3. Объем и распределение дотаций на выравнивание бюджетной обеспеченности внутригородских районов из бюджета городского округа с внутригородским делением утверждаются решением представительного органа городского округа с внутригородским делением о бюджете городского округа с внутригородским делением на очередной финансовый год (очередной финансовый год и плановый период).</w:t>
      </w:r>
    </w:p>
    <w:p w:rsidR="00067BE1" w:rsidRDefault="00067BE1">
      <w:pPr>
        <w:pStyle w:val="ConsPlusNormal"/>
        <w:jc w:val="both"/>
      </w:pPr>
    </w:p>
    <w:p w:rsidR="00067BE1" w:rsidRDefault="00067BE1">
      <w:pPr>
        <w:pStyle w:val="ConsPlusNormal"/>
        <w:ind w:firstLine="540"/>
        <w:jc w:val="both"/>
        <w:outlineLvl w:val="1"/>
      </w:pPr>
      <w:r>
        <w:t>Статья 3. Дотации на выравнивание бюджетной обеспеченности внутригородских районов из бюджета городского округа с внутригородским делением</w:t>
      </w:r>
    </w:p>
    <w:p w:rsidR="00067BE1" w:rsidRDefault="00067BE1">
      <w:pPr>
        <w:pStyle w:val="ConsPlusNormal"/>
        <w:jc w:val="both"/>
      </w:pPr>
    </w:p>
    <w:p w:rsidR="00067BE1" w:rsidRDefault="00067BE1">
      <w:pPr>
        <w:pStyle w:val="ConsPlusNormal"/>
        <w:ind w:firstLine="540"/>
        <w:jc w:val="both"/>
      </w:pPr>
      <w:r>
        <w:t xml:space="preserve">1. Дотации на выравнивание бюджетной обеспеченности внутригородских районов из бюджета городского округа с внутригородским делением, за исключением дотаций, предоставляемых в порядке, установленном </w:t>
      </w:r>
      <w:hyperlink r:id="rId5" w:history="1">
        <w:r>
          <w:rPr>
            <w:color w:val="0000FF"/>
          </w:rPr>
          <w:t>пунктом 5 статьи 137</w:t>
        </w:r>
      </w:hyperlink>
      <w:r>
        <w:t xml:space="preserve"> Бюджетного кодекса Российской Федерации, предоставляются внутригородским районам, расчетная бюджетная обеспеченность которых не превышает уровень, установленный в качестве критерия выравнивания расчетной бюджетной обеспеченности внутригородских районов данного городского округа с внутригородским делением.</w:t>
      </w:r>
    </w:p>
    <w:p w:rsidR="00067BE1" w:rsidRDefault="00067BE1">
      <w:pPr>
        <w:pStyle w:val="ConsPlusNormal"/>
        <w:spacing w:before="280"/>
        <w:ind w:firstLine="540"/>
        <w:jc w:val="both"/>
      </w:pPr>
      <w:r>
        <w:t>Расчетная бюджетная обеспеченность внутригородских районов определяется соотношением налоговых доходов на одного жителя, которые могут быть получены бюджетом внутригородского района исходя из налоговой базы (налогового потенциала), и аналогичного показателя в среднем по внутригородским районам данного городского округа с внутригородским делением с учетом различий в структуре населения, социально-экономических, климатических, географических и иных объективных факторов и условий, влияющих на стоимость предоставления муниципальных услуг в расчете на одного жителя.</w:t>
      </w:r>
    </w:p>
    <w:p w:rsidR="00067BE1" w:rsidRDefault="00067BE1">
      <w:pPr>
        <w:pStyle w:val="ConsPlusNormal"/>
        <w:spacing w:before="280"/>
        <w:ind w:firstLine="540"/>
        <w:jc w:val="both"/>
      </w:pPr>
      <w:r>
        <w:t>Использование при определении уровня расчетной бюджетной обеспеченности внутригородских районов показателей фактических доходов и расходов за отчетный период и (или) показателей прогнозируемых доходов и расходов отдельных внутригородских районов не допускается.</w:t>
      </w:r>
    </w:p>
    <w:p w:rsidR="00067BE1" w:rsidRDefault="00067BE1">
      <w:pPr>
        <w:pStyle w:val="ConsPlusNormal"/>
        <w:spacing w:before="280"/>
        <w:ind w:firstLine="540"/>
        <w:jc w:val="both"/>
      </w:pPr>
      <w:r>
        <w:t xml:space="preserve">2. Расчет объема и распределение дотаций на выравнивание бюджетной обеспеченности внутригородских районов из бюджета городского округа с внутригородским делением осуществляются в соответствии с </w:t>
      </w:r>
      <w:hyperlink w:anchor="P70" w:history="1">
        <w:r>
          <w:rPr>
            <w:color w:val="0000FF"/>
          </w:rPr>
          <w:t>Методикой</w:t>
        </w:r>
      </w:hyperlink>
      <w:r>
        <w:t xml:space="preserve"> расчета объема и распределения дотаций на выравнивание бюджетной обеспеченности внутригородских районов из бюджета городского округа с внутригородским делением, прилагаемой к настоящему Закону.</w:t>
      </w:r>
    </w:p>
    <w:p w:rsidR="00067BE1" w:rsidRDefault="00067BE1">
      <w:pPr>
        <w:pStyle w:val="ConsPlusNormal"/>
        <w:jc w:val="both"/>
      </w:pPr>
    </w:p>
    <w:p w:rsidR="00067BE1" w:rsidRDefault="00067BE1">
      <w:pPr>
        <w:pStyle w:val="ConsPlusNormal"/>
        <w:ind w:firstLine="540"/>
        <w:jc w:val="both"/>
        <w:outlineLvl w:val="1"/>
      </w:pPr>
      <w:r>
        <w:lastRenderedPageBreak/>
        <w:t>Статья 4. Особенности расчета дотаций на выравнивание бюджетной обеспеченности внутригородских районов городского округа с внутригородским делением</w:t>
      </w:r>
    </w:p>
    <w:p w:rsidR="00067BE1" w:rsidRDefault="00067BE1">
      <w:pPr>
        <w:pStyle w:val="ConsPlusNormal"/>
        <w:jc w:val="both"/>
      </w:pPr>
    </w:p>
    <w:p w:rsidR="00067BE1" w:rsidRDefault="00067BE1">
      <w:pPr>
        <w:pStyle w:val="ConsPlusNormal"/>
        <w:ind w:firstLine="540"/>
        <w:jc w:val="both"/>
      </w:pPr>
      <w:r>
        <w:t>В составе дотаций из фонда могут быть выделены дотации, отражающие отдельные факторы и условия, учитываемые при определении уровня расчетной бюджетной обеспеченности внутригородских районов. Объем указанных дотаций не может превышать 10 процентов общего объема финансовой помощи бюджетам внутригородских районов из бюджета городского округа с внутригородским делением.</w:t>
      </w:r>
    </w:p>
    <w:p w:rsidR="00067BE1" w:rsidRDefault="00067BE1">
      <w:pPr>
        <w:pStyle w:val="ConsPlusNormal"/>
        <w:jc w:val="both"/>
      </w:pPr>
    </w:p>
    <w:p w:rsidR="00067BE1" w:rsidRDefault="00067BE1">
      <w:pPr>
        <w:pStyle w:val="ConsPlusNormal"/>
        <w:ind w:firstLine="540"/>
        <w:jc w:val="both"/>
        <w:outlineLvl w:val="1"/>
      </w:pPr>
      <w:r>
        <w:t>Статья 5. Права органов местного самоуправления городского округа с внутригородским делением при предоставлении дотаций бюджетам внутригородских районов</w:t>
      </w:r>
    </w:p>
    <w:p w:rsidR="00067BE1" w:rsidRDefault="00067BE1">
      <w:pPr>
        <w:pStyle w:val="ConsPlusNormal"/>
        <w:jc w:val="both"/>
      </w:pPr>
    </w:p>
    <w:p w:rsidR="00067BE1" w:rsidRDefault="00067BE1">
      <w:pPr>
        <w:pStyle w:val="ConsPlusNormal"/>
        <w:ind w:firstLine="540"/>
        <w:jc w:val="both"/>
      </w:pPr>
      <w:r>
        <w:t>1. Дотации из фонда, предусмотренные к перечислению в бюджеты внутригородских районов в соответствии с настоящим Законом и решением представительного органа городского округа с внутригородским делением о бюджете городского округа с внутригородским делением на очередной финансовый год (очередной финансовый год и плановый период), предоставляются при условии соблюдения внутригородскими районами требований бюджетного и налогового законодательства.</w:t>
      </w:r>
    </w:p>
    <w:p w:rsidR="00067BE1" w:rsidRDefault="00067BE1">
      <w:pPr>
        <w:pStyle w:val="ConsPlusNormal"/>
        <w:spacing w:before="280"/>
        <w:ind w:firstLine="540"/>
        <w:jc w:val="both"/>
      </w:pPr>
      <w:r>
        <w:t>В случае несоблюдения органами местного самоуправления внутригородского района налогового и бюджетного законодательства представительный орган городского округа с внутригородским делением вправе приостанавливать или уменьшать финансирование дотации из фонда, предусмотренное разделом "Межбюджетные трансферты" функциональной классификации расходов бюджетов Российской Федерации.</w:t>
      </w:r>
    </w:p>
    <w:p w:rsidR="00067BE1" w:rsidRDefault="00067BE1">
      <w:pPr>
        <w:pStyle w:val="ConsPlusNormal"/>
        <w:spacing w:before="280"/>
        <w:ind w:firstLine="540"/>
        <w:jc w:val="both"/>
      </w:pPr>
      <w:r>
        <w:t xml:space="preserve">2. Проверка исполнения бюджетов внутригородских районов, получающих дотации на выравнивание уровня бюджетной обеспеченности из фонда, проводится контрольно-счетным органом городского округа с внутригородским делением в соответствии с Бюджетным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hyperlink r:id="rId8" w:history="1">
        <w:r>
          <w:rPr>
            <w:color w:val="0000FF"/>
          </w:rPr>
          <w:t>Законом</w:t>
        </w:r>
      </w:hyperlink>
      <w:r>
        <w:t xml:space="preserve"> Республики Дагестан от 15 ноября 2011 года N 72 "О Счетной палате Республики Дагестан и некоторых вопросах деятельности контрольно-счетных органов муниципальных образований", </w:t>
      </w:r>
      <w:hyperlink r:id="rId9" w:history="1">
        <w:r>
          <w:rPr>
            <w:color w:val="0000FF"/>
          </w:rPr>
          <w:t>Законом</w:t>
        </w:r>
      </w:hyperlink>
      <w:r>
        <w:t xml:space="preserve"> Республики Дагестан от 10 марта 2015 года N 18 "О бюджетном процессе и межбюджетных отношениях в Республике Дагестан" и другими федеральными и республиканскими нормативными правовыми актами.</w:t>
      </w:r>
    </w:p>
    <w:p w:rsidR="00067BE1" w:rsidRDefault="00067BE1">
      <w:pPr>
        <w:pStyle w:val="ConsPlusNormal"/>
        <w:jc w:val="both"/>
      </w:pPr>
    </w:p>
    <w:p w:rsidR="00067BE1" w:rsidRDefault="00067BE1">
      <w:pPr>
        <w:pStyle w:val="ConsPlusNormal"/>
        <w:ind w:firstLine="540"/>
        <w:jc w:val="both"/>
        <w:outlineLvl w:val="1"/>
      </w:pPr>
      <w:r>
        <w:t>Статья 6. Вступление в силу настоящего Закона</w:t>
      </w:r>
    </w:p>
    <w:p w:rsidR="00067BE1" w:rsidRDefault="00067BE1">
      <w:pPr>
        <w:pStyle w:val="ConsPlusNormal"/>
        <w:jc w:val="both"/>
      </w:pPr>
    </w:p>
    <w:p w:rsidR="00067BE1" w:rsidRDefault="00067BE1">
      <w:pPr>
        <w:pStyle w:val="ConsPlusNormal"/>
        <w:ind w:firstLine="540"/>
        <w:jc w:val="both"/>
      </w:pPr>
      <w:r>
        <w:lastRenderedPageBreak/>
        <w:t>Настоящий Закон вступает в силу по истечении десяти дней со дня его официального опубликования.</w:t>
      </w:r>
    </w:p>
    <w:p w:rsidR="00067BE1" w:rsidRDefault="00067BE1">
      <w:pPr>
        <w:pStyle w:val="ConsPlusNormal"/>
        <w:jc w:val="both"/>
      </w:pPr>
    </w:p>
    <w:p w:rsidR="00067BE1" w:rsidRDefault="00067BE1">
      <w:pPr>
        <w:pStyle w:val="ConsPlusNormal"/>
        <w:jc w:val="right"/>
      </w:pPr>
      <w:r>
        <w:t>Глава</w:t>
      </w:r>
    </w:p>
    <w:p w:rsidR="00067BE1" w:rsidRDefault="00067BE1">
      <w:pPr>
        <w:pStyle w:val="ConsPlusNormal"/>
        <w:jc w:val="right"/>
      </w:pPr>
      <w:r>
        <w:t>Республики Дагестан</w:t>
      </w:r>
    </w:p>
    <w:p w:rsidR="00067BE1" w:rsidRDefault="00067BE1">
      <w:pPr>
        <w:pStyle w:val="ConsPlusNormal"/>
        <w:jc w:val="right"/>
      </w:pPr>
      <w:r>
        <w:t>Р.АБДУЛАТИПОВ</w:t>
      </w:r>
    </w:p>
    <w:p w:rsidR="00067BE1" w:rsidRDefault="00067BE1">
      <w:pPr>
        <w:pStyle w:val="ConsPlusNormal"/>
      </w:pPr>
      <w:r>
        <w:t>Махачкала</w:t>
      </w:r>
    </w:p>
    <w:p w:rsidR="00067BE1" w:rsidRDefault="00067BE1">
      <w:pPr>
        <w:pStyle w:val="ConsPlusNormal"/>
        <w:spacing w:before="280"/>
      </w:pPr>
      <w:r>
        <w:t>20 июня 2016 года</w:t>
      </w:r>
    </w:p>
    <w:p w:rsidR="00067BE1" w:rsidRDefault="00067BE1">
      <w:pPr>
        <w:pStyle w:val="ConsPlusNormal"/>
        <w:spacing w:before="280"/>
      </w:pPr>
      <w:r>
        <w:t>N 46</w:t>
      </w:r>
    </w:p>
    <w:p w:rsidR="00067BE1" w:rsidRDefault="00067BE1">
      <w:pPr>
        <w:pStyle w:val="ConsPlusNormal"/>
        <w:jc w:val="both"/>
      </w:pPr>
    </w:p>
    <w:p w:rsidR="00067BE1" w:rsidRDefault="00067BE1">
      <w:pPr>
        <w:pStyle w:val="ConsPlusNormal"/>
        <w:jc w:val="both"/>
      </w:pPr>
    </w:p>
    <w:p w:rsidR="00067BE1" w:rsidRDefault="00067BE1">
      <w:pPr>
        <w:pStyle w:val="ConsPlusNormal"/>
        <w:jc w:val="both"/>
      </w:pPr>
    </w:p>
    <w:p w:rsidR="00067BE1" w:rsidRDefault="00067BE1">
      <w:pPr>
        <w:pStyle w:val="ConsPlusNormal"/>
        <w:jc w:val="both"/>
      </w:pPr>
    </w:p>
    <w:p w:rsidR="00067BE1" w:rsidRDefault="00067BE1">
      <w:pPr>
        <w:pStyle w:val="ConsPlusNormal"/>
        <w:jc w:val="both"/>
      </w:pPr>
    </w:p>
    <w:p w:rsidR="00067BE1" w:rsidRDefault="00067BE1">
      <w:pPr>
        <w:pStyle w:val="ConsPlusNormal"/>
        <w:jc w:val="right"/>
        <w:outlineLvl w:val="0"/>
      </w:pPr>
      <w:r>
        <w:t>Приложение</w:t>
      </w:r>
    </w:p>
    <w:p w:rsidR="00067BE1" w:rsidRDefault="00067BE1">
      <w:pPr>
        <w:pStyle w:val="ConsPlusNormal"/>
        <w:jc w:val="right"/>
      </w:pPr>
      <w:r>
        <w:t>к Закону Республики Дагестан</w:t>
      </w:r>
    </w:p>
    <w:p w:rsidR="00067BE1" w:rsidRDefault="00067BE1">
      <w:pPr>
        <w:pStyle w:val="ConsPlusNormal"/>
        <w:jc w:val="right"/>
      </w:pPr>
      <w:r>
        <w:t>"О порядке определения объемов окружных</w:t>
      </w:r>
    </w:p>
    <w:p w:rsidR="00067BE1" w:rsidRDefault="00067BE1">
      <w:pPr>
        <w:pStyle w:val="ConsPlusNormal"/>
        <w:jc w:val="right"/>
      </w:pPr>
      <w:r>
        <w:t>фондов финансовой поддержки внутригородских</w:t>
      </w:r>
    </w:p>
    <w:p w:rsidR="00067BE1" w:rsidRDefault="00067BE1">
      <w:pPr>
        <w:pStyle w:val="ConsPlusNormal"/>
        <w:jc w:val="right"/>
      </w:pPr>
      <w:r>
        <w:t>районов и распределения дотаций</w:t>
      </w:r>
    </w:p>
    <w:p w:rsidR="00067BE1" w:rsidRDefault="00067BE1">
      <w:pPr>
        <w:pStyle w:val="ConsPlusNormal"/>
        <w:jc w:val="right"/>
      </w:pPr>
      <w:r>
        <w:t>на выравнивание бюджетной обеспеченности</w:t>
      </w:r>
    </w:p>
    <w:p w:rsidR="00067BE1" w:rsidRDefault="00067BE1">
      <w:pPr>
        <w:pStyle w:val="ConsPlusNormal"/>
        <w:jc w:val="right"/>
      </w:pPr>
      <w:r>
        <w:t>внутригородских районов из бюджетов</w:t>
      </w:r>
    </w:p>
    <w:p w:rsidR="00067BE1" w:rsidRDefault="00067BE1">
      <w:pPr>
        <w:pStyle w:val="ConsPlusNormal"/>
        <w:jc w:val="right"/>
      </w:pPr>
      <w:r>
        <w:t>городских округов с внутригородским</w:t>
      </w:r>
    </w:p>
    <w:p w:rsidR="00067BE1" w:rsidRDefault="00067BE1">
      <w:pPr>
        <w:pStyle w:val="ConsPlusNormal"/>
        <w:jc w:val="right"/>
      </w:pPr>
      <w:r>
        <w:t>делением Республики Дагестан"</w:t>
      </w:r>
    </w:p>
    <w:p w:rsidR="00067BE1" w:rsidRDefault="00067BE1">
      <w:pPr>
        <w:pStyle w:val="ConsPlusNormal"/>
        <w:jc w:val="both"/>
      </w:pPr>
    </w:p>
    <w:p w:rsidR="00067BE1" w:rsidRDefault="00067BE1">
      <w:pPr>
        <w:pStyle w:val="ConsPlusTitle"/>
        <w:jc w:val="center"/>
      </w:pPr>
      <w:bookmarkStart w:id="1" w:name="P70"/>
      <w:bookmarkEnd w:id="1"/>
      <w:r>
        <w:t>МЕТОДИКА</w:t>
      </w:r>
    </w:p>
    <w:p w:rsidR="00067BE1" w:rsidRDefault="00067BE1">
      <w:pPr>
        <w:pStyle w:val="ConsPlusTitle"/>
        <w:jc w:val="center"/>
      </w:pPr>
      <w:r>
        <w:t>РАСЧЕТА ОБЪЕМА И РАСПРЕДЕЛЕНИЯ ДОТАЦИЙ НА ВЫРАВНИВАНИЕ</w:t>
      </w:r>
    </w:p>
    <w:p w:rsidR="00067BE1" w:rsidRDefault="00067BE1">
      <w:pPr>
        <w:pStyle w:val="ConsPlusTitle"/>
        <w:jc w:val="center"/>
      </w:pPr>
      <w:r>
        <w:t>БЮДЖЕТНОЙ ОБЕСПЕЧЕННОСТИ ВНУТРИГОРОДСКИХ РАЙОНОВ ИЗ БЮДЖЕТА</w:t>
      </w:r>
    </w:p>
    <w:p w:rsidR="00067BE1" w:rsidRDefault="00067BE1">
      <w:pPr>
        <w:pStyle w:val="ConsPlusTitle"/>
        <w:jc w:val="center"/>
      </w:pPr>
      <w:r>
        <w:t>ГОРОДСКОГО ОКРУГА С ВНУТРИГОРОДСКИМ ДЕЛЕНИЕМ</w:t>
      </w:r>
    </w:p>
    <w:p w:rsidR="00067BE1" w:rsidRDefault="00067BE1">
      <w:pPr>
        <w:pStyle w:val="ConsPlusNormal"/>
        <w:jc w:val="both"/>
      </w:pPr>
    </w:p>
    <w:p w:rsidR="00067BE1" w:rsidRDefault="00067BE1">
      <w:pPr>
        <w:pStyle w:val="ConsPlusNormal"/>
        <w:ind w:firstLine="540"/>
        <w:jc w:val="both"/>
      </w:pPr>
      <w:r>
        <w:t>1. Дотации на выравнивание бюджетной обеспеченности внутригородских районов, образующие окружной фонд финансовой поддержки внутригородских районов (далее - дотации), предусматриваются в составе бюджета городского округа с внутригородским делением в целях выравнивания уровня бюджетной обеспеченности внутригородских районов.</w:t>
      </w:r>
    </w:p>
    <w:p w:rsidR="00067BE1" w:rsidRDefault="00067BE1">
      <w:pPr>
        <w:pStyle w:val="ConsPlusNormal"/>
        <w:spacing w:before="280"/>
        <w:ind w:firstLine="540"/>
        <w:jc w:val="both"/>
      </w:pPr>
      <w:r>
        <w:t xml:space="preserve">2. Объем дотаций определяется исходя из численности жителей, постоянно проживающих на территории внутригородского района, в расчете на одного жителя с учетом </w:t>
      </w:r>
      <w:proofErr w:type="spellStart"/>
      <w:r>
        <w:t>расселенности</w:t>
      </w:r>
      <w:proofErr w:type="spellEnd"/>
      <w:r>
        <w:t>, отдаленности отдельных населенных пунктов, входящих в его состав, и содержания территории внутригородского района. Размер дотаций определяется по формуле:</w:t>
      </w:r>
    </w:p>
    <w:p w:rsidR="00067BE1" w:rsidRDefault="00067BE1">
      <w:pPr>
        <w:pStyle w:val="ConsPlusNormal"/>
        <w:jc w:val="both"/>
      </w:pPr>
    </w:p>
    <w:p w:rsidR="00067BE1" w:rsidRDefault="00067BE1">
      <w:pPr>
        <w:pStyle w:val="ConsPlusNormal"/>
        <w:jc w:val="center"/>
      </w:pPr>
      <w:r w:rsidRPr="003F3659">
        <w:rPr>
          <w:position w:val="-38"/>
        </w:rPr>
        <w:lastRenderedPageBreak/>
        <w:pict>
          <v:shape id="_x0000_i1025" style="width:121.5pt;height:53.25pt" coordsize="" o:spt="100" adj="0,,0" path="" filled="f" stroked="f">
            <v:stroke joinstyle="miter"/>
            <v:imagedata r:id="rId10" o:title="base_23898_28629_4"/>
            <v:formulas/>
            <v:path o:connecttype="segments"/>
          </v:shape>
        </w:pict>
      </w:r>
      <w:r>
        <w:t>, где:</w:t>
      </w:r>
    </w:p>
    <w:p w:rsidR="00067BE1" w:rsidRDefault="00067BE1">
      <w:pPr>
        <w:pStyle w:val="ConsPlusNormal"/>
        <w:jc w:val="both"/>
      </w:pPr>
    </w:p>
    <w:p w:rsidR="00067BE1" w:rsidRDefault="00067BE1">
      <w:pPr>
        <w:pStyle w:val="ConsPlusNormal"/>
        <w:ind w:firstLine="540"/>
        <w:jc w:val="both"/>
      </w:pPr>
      <w:proofErr w:type="spellStart"/>
      <w:r>
        <w:t>Д</w:t>
      </w:r>
      <w:r>
        <w:rPr>
          <w:vertAlign w:val="subscript"/>
        </w:rPr>
        <w:t>i</w:t>
      </w:r>
      <w:proofErr w:type="spellEnd"/>
      <w:r>
        <w:t xml:space="preserve"> - размер дотации, определяемой исходя из численности жителей i-</w:t>
      </w:r>
      <w:proofErr w:type="spellStart"/>
      <w:r>
        <w:t>го</w:t>
      </w:r>
      <w:proofErr w:type="spellEnd"/>
      <w:r>
        <w:t xml:space="preserve"> внутригородского района;</w:t>
      </w:r>
    </w:p>
    <w:p w:rsidR="00067BE1" w:rsidRDefault="00067BE1">
      <w:pPr>
        <w:pStyle w:val="ConsPlusNormal"/>
        <w:spacing w:before="280"/>
        <w:ind w:firstLine="540"/>
        <w:jc w:val="both"/>
      </w:pPr>
      <w:r>
        <w:t>Д - объем окружного фонда финансовой поддержки внутригородских районов;</w:t>
      </w:r>
    </w:p>
    <w:p w:rsidR="00067BE1" w:rsidRDefault="00067BE1">
      <w:pPr>
        <w:pStyle w:val="ConsPlusNormal"/>
        <w:spacing w:before="280"/>
        <w:ind w:firstLine="540"/>
        <w:jc w:val="both"/>
      </w:pPr>
      <w:proofErr w:type="spellStart"/>
      <w:r>
        <w:t>Н</w:t>
      </w:r>
      <w:r>
        <w:rPr>
          <w:vertAlign w:val="subscript"/>
        </w:rPr>
        <w:t>i</w:t>
      </w:r>
      <w:proofErr w:type="spellEnd"/>
      <w:r>
        <w:t xml:space="preserve"> - численность постоянного населения i-</w:t>
      </w:r>
      <w:proofErr w:type="spellStart"/>
      <w:r>
        <w:t>го</w:t>
      </w:r>
      <w:proofErr w:type="spellEnd"/>
      <w:r>
        <w:t xml:space="preserve"> внутригородского района;</w:t>
      </w:r>
    </w:p>
    <w:p w:rsidR="00067BE1" w:rsidRDefault="00067BE1">
      <w:pPr>
        <w:pStyle w:val="ConsPlusNormal"/>
        <w:spacing w:before="280"/>
        <w:ind w:firstLine="540"/>
        <w:jc w:val="both"/>
      </w:pPr>
      <w:proofErr w:type="spellStart"/>
      <w:r>
        <w:t>К</w:t>
      </w:r>
      <w:r>
        <w:rPr>
          <w:vertAlign w:val="subscript"/>
        </w:rPr>
        <w:t>i</w:t>
      </w:r>
      <w:proofErr w:type="spellEnd"/>
      <w:r>
        <w:t xml:space="preserve"> - коэффициент учета </w:t>
      </w:r>
      <w:proofErr w:type="spellStart"/>
      <w:r>
        <w:t>расселенности</w:t>
      </w:r>
      <w:proofErr w:type="spellEnd"/>
      <w:r>
        <w:t>, отдаленности отдельных населенных пунктов и содержания территории внутригородского района.</w:t>
      </w:r>
    </w:p>
    <w:p w:rsidR="00067BE1" w:rsidRDefault="00067BE1">
      <w:pPr>
        <w:pStyle w:val="ConsPlusNormal"/>
        <w:spacing w:before="280"/>
        <w:ind w:firstLine="540"/>
        <w:jc w:val="both"/>
      </w:pPr>
      <w:r>
        <w:t xml:space="preserve">3. Размер коэффициента учета </w:t>
      </w:r>
      <w:proofErr w:type="spellStart"/>
      <w:r>
        <w:t>расселенности</w:t>
      </w:r>
      <w:proofErr w:type="spellEnd"/>
      <w:r>
        <w:t>, отдаленности отдельных населенных пунктов и содержания территории внутригородского района определяется по формуле:</w:t>
      </w:r>
    </w:p>
    <w:p w:rsidR="00067BE1" w:rsidRDefault="00067BE1">
      <w:pPr>
        <w:pStyle w:val="ConsPlusNormal"/>
        <w:jc w:val="both"/>
      </w:pPr>
    </w:p>
    <w:p w:rsidR="00067BE1" w:rsidRDefault="00067BE1">
      <w:pPr>
        <w:pStyle w:val="ConsPlusNormal"/>
        <w:jc w:val="center"/>
      </w:pPr>
      <w:proofErr w:type="spellStart"/>
      <w:r>
        <w:t>К</w:t>
      </w:r>
      <w:r>
        <w:rPr>
          <w:vertAlign w:val="subscript"/>
        </w:rPr>
        <w:t>i</w:t>
      </w:r>
      <w:proofErr w:type="spellEnd"/>
      <w:r>
        <w:t xml:space="preserve"> = </w:t>
      </w:r>
      <w:proofErr w:type="spellStart"/>
      <w:r>
        <w:t>К</w:t>
      </w:r>
      <w:r>
        <w:rPr>
          <w:vertAlign w:val="subscript"/>
        </w:rPr>
        <w:t>pi</w:t>
      </w:r>
      <w:proofErr w:type="spellEnd"/>
      <w:r>
        <w:t xml:space="preserve"> * </w:t>
      </w:r>
      <w:proofErr w:type="spellStart"/>
      <w:r>
        <w:t>К</w:t>
      </w:r>
      <w:r>
        <w:rPr>
          <w:vertAlign w:val="subscript"/>
        </w:rPr>
        <w:t>оi</w:t>
      </w:r>
      <w:proofErr w:type="spellEnd"/>
      <w:r>
        <w:t xml:space="preserve"> * </w:t>
      </w:r>
      <w:proofErr w:type="spellStart"/>
      <w:r>
        <w:t>К</w:t>
      </w:r>
      <w:r>
        <w:rPr>
          <w:vertAlign w:val="subscript"/>
        </w:rPr>
        <w:t>мi</w:t>
      </w:r>
      <w:proofErr w:type="spellEnd"/>
      <w:r>
        <w:t>, где:</w:t>
      </w:r>
    </w:p>
    <w:p w:rsidR="00067BE1" w:rsidRDefault="00067BE1">
      <w:pPr>
        <w:pStyle w:val="ConsPlusNormal"/>
        <w:jc w:val="both"/>
      </w:pPr>
    </w:p>
    <w:p w:rsidR="00067BE1" w:rsidRDefault="00067BE1">
      <w:pPr>
        <w:pStyle w:val="ConsPlusNormal"/>
        <w:ind w:firstLine="540"/>
        <w:jc w:val="both"/>
      </w:pPr>
      <w:proofErr w:type="spellStart"/>
      <w:r>
        <w:t>К</w:t>
      </w:r>
      <w:r>
        <w:rPr>
          <w:vertAlign w:val="subscript"/>
        </w:rPr>
        <w:t>i</w:t>
      </w:r>
      <w:proofErr w:type="spellEnd"/>
      <w:r>
        <w:t xml:space="preserve"> - коэффициент учета </w:t>
      </w:r>
      <w:proofErr w:type="spellStart"/>
      <w:r>
        <w:t>расселенности</w:t>
      </w:r>
      <w:proofErr w:type="spellEnd"/>
      <w:r>
        <w:t>, отдаленности отдельных населенных пунктов и содержания территории внутригородского района;</w:t>
      </w:r>
    </w:p>
    <w:p w:rsidR="00067BE1" w:rsidRDefault="00067BE1">
      <w:pPr>
        <w:pStyle w:val="ConsPlusNormal"/>
        <w:spacing w:before="280"/>
        <w:ind w:firstLine="540"/>
        <w:jc w:val="both"/>
      </w:pPr>
      <w:proofErr w:type="spellStart"/>
      <w:r>
        <w:t>К</w:t>
      </w:r>
      <w:r>
        <w:rPr>
          <w:vertAlign w:val="subscript"/>
        </w:rPr>
        <w:t>pi</w:t>
      </w:r>
      <w:proofErr w:type="spellEnd"/>
      <w:r>
        <w:t xml:space="preserve"> - коэффициент учета </w:t>
      </w:r>
      <w:proofErr w:type="spellStart"/>
      <w:r>
        <w:t>расселенности</w:t>
      </w:r>
      <w:proofErr w:type="spellEnd"/>
      <w:r>
        <w:t>;</w:t>
      </w:r>
    </w:p>
    <w:p w:rsidR="00067BE1" w:rsidRDefault="00067BE1">
      <w:pPr>
        <w:pStyle w:val="ConsPlusNormal"/>
        <w:spacing w:before="280"/>
        <w:ind w:firstLine="540"/>
        <w:jc w:val="both"/>
      </w:pPr>
      <w:proofErr w:type="spellStart"/>
      <w:r>
        <w:t>К</w:t>
      </w:r>
      <w:r>
        <w:rPr>
          <w:vertAlign w:val="subscript"/>
        </w:rPr>
        <w:t>оi</w:t>
      </w:r>
      <w:proofErr w:type="spellEnd"/>
      <w:r>
        <w:t xml:space="preserve"> - коэффициент учета отдаленности отдельных населенных пунктов;</w:t>
      </w:r>
    </w:p>
    <w:p w:rsidR="00067BE1" w:rsidRDefault="00067BE1">
      <w:pPr>
        <w:pStyle w:val="ConsPlusNormal"/>
        <w:spacing w:before="280"/>
        <w:ind w:firstLine="540"/>
        <w:jc w:val="both"/>
      </w:pPr>
      <w:proofErr w:type="spellStart"/>
      <w:r>
        <w:t>К</w:t>
      </w:r>
      <w:r>
        <w:rPr>
          <w:vertAlign w:val="subscript"/>
        </w:rPr>
        <w:t>мi</w:t>
      </w:r>
      <w:proofErr w:type="spellEnd"/>
      <w:r>
        <w:t xml:space="preserve"> - коэффициент содержания территории внутригородского района.</w:t>
      </w:r>
    </w:p>
    <w:p w:rsidR="00067BE1" w:rsidRDefault="00067BE1">
      <w:pPr>
        <w:pStyle w:val="ConsPlusNormal"/>
        <w:spacing w:before="280"/>
        <w:ind w:firstLine="540"/>
        <w:jc w:val="both"/>
      </w:pPr>
      <w:r>
        <w:t xml:space="preserve">4. Размер коэффициента учета </w:t>
      </w:r>
      <w:proofErr w:type="spellStart"/>
      <w:r>
        <w:t>расселенности</w:t>
      </w:r>
      <w:proofErr w:type="spellEnd"/>
      <w:r>
        <w:t xml:space="preserve"> определяется по формуле:</w:t>
      </w:r>
    </w:p>
    <w:p w:rsidR="00067BE1" w:rsidRDefault="00067BE1">
      <w:pPr>
        <w:pStyle w:val="ConsPlusNormal"/>
        <w:jc w:val="both"/>
      </w:pPr>
    </w:p>
    <w:p w:rsidR="00067BE1" w:rsidRDefault="00067BE1">
      <w:pPr>
        <w:pStyle w:val="ConsPlusNormal"/>
        <w:jc w:val="center"/>
      </w:pPr>
      <w:r w:rsidRPr="003F3659">
        <w:rPr>
          <w:position w:val="-56"/>
        </w:rPr>
        <w:pict>
          <v:shape id="_x0000_i1026" style="width:92.25pt;height:91.5pt" coordsize="" o:spt="100" adj="0,,0" path="" filled="f" stroked="f">
            <v:stroke joinstyle="miter"/>
            <v:imagedata r:id="rId11" o:title="base_23898_28629_5"/>
            <v:formulas/>
            <v:path o:connecttype="segments"/>
          </v:shape>
        </w:pict>
      </w:r>
      <w:r>
        <w:t>, где:</w:t>
      </w:r>
    </w:p>
    <w:p w:rsidR="00067BE1" w:rsidRDefault="00067BE1">
      <w:pPr>
        <w:pStyle w:val="ConsPlusNormal"/>
        <w:jc w:val="both"/>
      </w:pPr>
    </w:p>
    <w:p w:rsidR="00067BE1" w:rsidRDefault="00067BE1">
      <w:pPr>
        <w:pStyle w:val="ConsPlusNormal"/>
        <w:ind w:firstLine="540"/>
        <w:jc w:val="both"/>
      </w:pPr>
      <w:proofErr w:type="spellStart"/>
      <w:r>
        <w:t>К</w:t>
      </w:r>
      <w:r>
        <w:rPr>
          <w:vertAlign w:val="subscript"/>
        </w:rPr>
        <w:t>pi</w:t>
      </w:r>
      <w:proofErr w:type="spellEnd"/>
      <w:r>
        <w:t xml:space="preserve"> - коэффициент учета </w:t>
      </w:r>
      <w:proofErr w:type="spellStart"/>
      <w:r>
        <w:t>расселенности</w:t>
      </w:r>
      <w:proofErr w:type="spellEnd"/>
      <w:r>
        <w:t xml:space="preserve"> i-</w:t>
      </w:r>
      <w:proofErr w:type="spellStart"/>
      <w:r>
        <w:t>го</w:t>
      </w:r>
      <w:proofErr w:type="spellEnd"/>
      <w:r>
        <w:t xml:space="preserve"> внутригородского района;</w:t>
      </w:r>
    </w:p>
    <w:p w:rsidR="00067BE1" w:rsidRDefault="00067BE1">
      <w:pPr>
        <w:pStyle w:val="ConsPlusNormal"/>
        <w:spacing w:before="280"/>
        <w:ind w:firstLine="540"/>
        <w:jc w:val="both"/>
      </w:pPr>
      <w:proofErr w:type="spellStart"/>
      <w:r>
        <w:t>Н</w:t>
      </w:r>
      <w:r>
        <w:rPr>
          <w:vertAlign w:val="subscript"/>
        </w:rPr>
        <w:t>iр</w:t>
      </w:r>
      <w:proofErr w:type="spellEnd"/>
      <w:r>
        <w:t xml:space="preserve"> - численность жителей (населения) i-</w:t>
      </w:r>
      <w:proofErr w:type="spellStart"/>
      <w:r>
        <w:t>го</w:t>
      </w:r>
      <w:proofErr w:type="spellEnd"/>
      <w:r>
        <w:t xml:space="preserve"> внутригородского района, проживающих в населенных пунктах с численностью менее 30000 человек, по данным территориального органа Федеральной службы государственной статистики по Республике Дагестан по состоянию на 1 января года, предшествующего очередному финансовому году;</w:t>
      </w:r>
    </w:p>
    <w:p w:rsidR="00067BE1" w:rsidRDefault="00067BE1">
      <w:pPr>
        <w:pStyle w:val="ConsPlusNormal"/>
        <w:spacing w:before="280"/>
        <w:ind w:firstLine="540"/>
        <w:jc w:val="both"/>
      </w:pPr>
      <w:proofErr w:type="spellStart"/>
      <w:r>
        <w:lastRenderedPageBreak/>
        <w:t>Н</w:t>
      </w:r>
      <w:r>
        <w:rPr>
          <w:vertAlign w:val="subscript"/>
        </w:rPr>
        <w:t>i</w:t>
      </w:r>
      <w:proofErr w:type="spellEnd"/>
      <w:r>
        <w:t xml:space="preserve"> - численность жителей (населения) i-</w:t>
      </w:r>
      <w:proofErr w:type="spellStart"/>
      <w:r>
        <w:t>го</w:t>
      </w:r>
      <w:proofErr w:type="spellEnd"/>
      <w:r>
        <w:t xml:space="preserve"> внутригородского района по данным территориального органа Федеральной службы государственной статистики по Республике Дагестан по состоянию на 1 января года, предшествующего очередному финансовому году;</w:t>
      </w:r>
    </w:p>
    <w:p w:rsidR="00067BE1" w:rsidRDefault="00067BE1">
      <w:pPr>
        <w:pStyle w:val="ConsPlusNormal"/>
        <w:spacing w:before="280"/>
        <w:ind w:firstLine="540"/>
        <w:jc w:val="both"/>
      </w:pPr>
      <w:proofErr w:type="spellStart"/>
      <w:r>
        <w:t>Н</w:t>
      </w:r>
      <w:r>
        <w:rPr>
          <w:vertAlign w:val="subscript"/>
        </w:rPr>
        <w:t>р</w:t>
      </w:r>
      <w:proofErr w:type="spellEnd"/>
      <w:r>
        <w:t xml:space="preserve"> - численность жителей (населения) городского округа с внутригородским делением, проживающих в населенных пунктах с численностью менее 30000 человек по данным территориального органа Федеральной службы государственной статистики по Республике Дагестан по состоянию на 1 января года, предшествующего очередному финансовому году;</w:t>
      </w:r>
    </w:p>
    <w:p w:rsidR="00067BE1" w:rsidRDefault="00067BE1">
      <w:pPr>
        <w:pStyle w:val="ConsPlusNormal"/>
        <w:spacing w:before="280"/>
        <w:ind w:firstLine="540"/>
        <w:jc w:val="both"/>
      </w:pPr>
      <w:r>
        <w:t>Н - численность жителей (населения) городского округа с внутригородским делением по данным территориального органа Федеральной службы государственной статистики по Республике Дагестан по состоянию на 1 января года, предшествующего очередному финансовому году.</w:t>
      </w:r>
    </w:p>
    <w:p w:rsidR="00067BE1" w:rsidRDefault="00067BE1">
      <w:pPr>
        <w:pStyle w:val="ConsPlusNormal"/>
        <w:spacing w:before="280"/>
        <w:ind w:firstLine="540"/>
        <w:jc w:val="both"/>
      </w:pPr>
      <w:r>
        <w:t>5. Размер коэффициента учета отдаленности отдельных населенных пунктов определяется по формуле:</w:t>
      </w:r>
    </w:p>
    <w:p w:rsidR="00067BE1" w:rsidRDefault="00067BE1">
      <w:pPr>
        <w:pStyle w:val="ConsPlusNormal"/>
        <w:jc w:val="both"/>
      </w:pPr>
    </w:p>
    <w:p w:rsidR="00067BE1" w:rsidRDefault="00067BE1">
      <w:pPr>
        <w:pStyle w:val="ConsPlusNormal"/>
        <w:jc w:val="center"/>
      </w:pPr>
      <w:r w:rsidRPr="003F3659">
        <w:rPr>
          <w:position w:val="-30"/>
        </w:rPr>
        <w:pict>
          <v:shape id="_x0000_i1027" style="width:386.25pt;height:47.25pt" coordsize="" o:spt="100" adj="0,,0" path="" filled="f" stroked="f">
            <v:stroke joinstyle="miter"/>
            <v:imagedata r:id="rId12" o:title="base_23898_28629_6"/>
            <v:formulas/>
            <v:path o:connecttype="segments"/>
          </v:shape>
        </w:pict>
      </w:r>
      <w:r>
        <w:t>, где:</w:t>
      </w:r>
    </w:p>
    <w:p w:rsidR="00067BE1" w:rsidRDefault="00067BE1">
      <w:pPr>
        <w:pStyle w:val="ConsPlusNormal"/>
        <w:jc w:val="both"/>
      </w:pPr>
    </w:p>
    <w:p w:rsidR="00067BE1" w:rsidRDefault="00067BE1">
      <w:pPr>
        <w:pStyle w:val="ConsPlusNormal"/>
        <w:ind w:firstLine="540"/>
        <w:jc w:val="both"/>
      </w:pPr>
      <w:proofErr w:type="spellStart"/>
      <w:r>
        <w:t>К</w:t>
      </w:r>
      <w:r>
        <w:rPr>
          <w:vertAlign w:val="subscript"/>
        </w:rPr>
        <w:t>оi</w:t>
      </w:r>
      <w:proofErr w:type="spellEnd"/>
      <w:r>
        <w:t xml:space="preserve"> - коэффициент учета отдаленности отдельных населенных пунктов i-</w:t>
      </w:r>
      <w:proofErr w:type="spellStart"/>
      <w:r>
        <w:t>го</w:t>
      </w:r>
      <w:proofErr w:type="spellEnd"/>
      <w:r>
        <w:t xml:space="preserve"> внутригородского района;</w:t>
      </w:r>
    </w:p>
    <w:p w:rsidR="00067BE1" w:rsidRDefault="00067BE1">
      <w:pPr>
        <w:pStyle w:val="ConsPlusNormal"/>
        <w:spacing w:before="280"/>
        <w:ind w:firstLine="540"/>
        <w:jc w:val="both"/>
      </w:pPr>
      <w:r>
        <w:t>КП1</w:t>
      </w:r>
      <w:r>
        <w:rPr>
          <w:vertAlign w:val="subscript"/>
        </w:rPr>
        <w:t>i</w:t>
      </w:r>
      <w:r>
        <w:t xml:space="preserve"> - количество населенных пунктов i-</w:t>
      </w:r>
      <w:proofErr w:type="spellStart"/>
      <w:r>
        <w:t>го</w:t>
      </w:r>
      <w:proofErr w:type="spellEnd"/>
      <w:r>
        <w:t xml:space="preserve"> внутригородского района, расположенных на расстоянии до 5 километров от административного центра внутригородского района;</w:t>
      </w:r>
    </w:p>
    <w:p w:rsidR="00067BE1" w:rsidRDefault="00067BE1">
      <w:pPr>
        <w:pStyle w:val="ConsPlusNormal"/>
        <w:spacing w:before="280"/>
        <w:ind w:firstLine="540"/>
        <w:jc w:val="both"/>
      </w:pPr>
      <w:r>
        <w:t>КП2</w:t>
      </w:r>
      <w:r>
        <w:rPr>
          <w:vertAlign w:val="subscript"/>
        </w:rPr>
        <w:t>i</w:t>
      </w:r>
      <w:r>
        <w:t xml:space="preserve"> - количество населенных пунктов i-</w:t>
      </w:r>
      <w:proofErr w:type="spellStart"/>
      <w:r>
        <w:t>го</w:t>
      </w:r>
      <w:proofErr w:type="spellEnd"/>
      <w:r>
        <w:t xml:space="preserve"> внутригородского района, расположенных на расстоянии от 5 до 10 километров от административного центра внутригородского района;</w:t>
      </w:r>
    </w:p>
    <w:p w:rsidR="00067BE1" w:rsidRDefault="00067BE1">
      <w:pPr>
        <w:pStyle w:val="ConsPlusNormal"/>
        <w:spacing w:before="280"/>
        <w:ind w:firstLine="540"/>
        <w:jc w:val="both"/>
      </w:pPr>
      <w:r>
        <w:t>КП3</w:t>
      </w:r>
      <w:r>
        <w:rPr>
          <w:vertAlign w:val="subscript"/>
        </w:rPr>
        <w:t>i</w:t>
      </w:r>
      <w:r>
        <w:t xml:space="preserve"> - количество населенных пунктов i-</w:t>
      </w:r>
      <w:proofErr w:type="spellStart"/>
      <w:r>
        <w:t>го</w:t>
      </w:r>
      <w:proofErr w:type="spellEnd"/>
      <w:r>
        <w:t xml:space="preserve"> внутригородского района, расположенных на расстоянии от 10 до 20 километров от административного центра внутригородского района;</w:t>
      </w:r>
    </w:p>
    <w:p w:rsidR="00067BE1" w:rsidRDefault="00067BE1">
      <w:pPr>
        <w:pStyle w:val="ConsPlusNormal"/>
        <w:spacing w:before="280"/>
        <w:ind w:firstLine="540"/>
        <w:jc w:val="both"/>
      </w:pPr>
      <w:r>
        <w:t>КП4</w:t>
      </w:r>
      <w:r>
        <w:rPr>
          <w:vertAlign w:val="subscript"/>
        </w:rPr>
        <w:t>i</w:t>
      </w:r>
      <w:r>
        <w:t xml:space="preserve"> - количество населенных пунктов i-</w:t>
      </w:r>
      <w:proofErr w:type="spellStart"/>
      <w:r>
        <w:t>го</w:t>
      </w:r>
      <w:proofErr w:type="spellEnd"/>
      <w:r>
        <w:t xml:space="preserve"> внутригородского района, расположенных на расстоянии более 20 километров от административного центра внутригородского района;</w:t>
      </w:r>
    </w:p>
    <w:p w:rsidR="00067BE1" w:rsidRDefault="00067BE1">
      <w:pPr>
        <w:pStyle w:val="ConsPlusNormal"/>
        <w:spacing w:before="280"/>
        <w:ind w:firstLine="540"/>
        <w:jc w:val="both"/>
      </w:pPr>
      <w:proofErr w:type="spellStart"/>
      <w:r>
        <w:t>КП</w:t>
      </w:r>
      <w:r>
        <w:rPr>
          <w:vertAlign w:val="subscript"/>
        </w:rPr>
        <w:t>i</w:t>
      </w:r>
      <w:proofErr w:type="spellEnd"/>
      <w:r>
        <w:t xml:space="preserve"> - общее количество отдельных населенных пунктов i-</w:t>
      </w:r>
      <w:proofErr w:type="spellStart"/>
      <w:r>
        <w:t>го</w:t>
      </w:r>
      <w:proofErr w:type="spellEnd"/>
      <w:r>
        <w:t xml:space="preserve"> внутригородского района.</w:t>
      </w:r>
    </w:p>
    <w:p w:rsidR="00067BE1" w:rsidRDefault="00067BE1">
      <w:pPr>
        <w:pStyle w:val="ConsPlusNormal"/>
        <w:spacing w:before="280"/>
        <w:ind w:firstLine="540"/>
        <w:jc w:val="both"/>
      </w:pPr>
      <w:r>
        <w:t>6. Размер коэффициента содержания территории определяется по формуле:</w:t>
      </w:r>
    </w:p>
    <w:p w:rsidR="00067BE1" w:rsidRDefault="00067BE1">
      <w:pPr>
        <w:pStyle w:val="ConsPlusNormal"/>
        <w:jc w:val="both"/>
      </w:pPr>
    </w:p>
    <w:p w:rsidR="00067BE1" w:rsidRDefault="00067BE1">
      <w:pPr>
        <w:pStyle w:val="ConsPlusNormal"/>
        <w:jc w:val="center"/>
      </w:pPr>
      <w:r w:rsidRPr="003F3659">
        <w:rPr>
          <w:position w:val="-28"/>
        </w:rPr>
        <w:pict>
          <v:shape id="_x0000_i1028" style="width:113.25pt;height:46.5pt" coordsize="" o:spt="100" adj="0,,0" path="" filled="f" stroked="f">
            <v:stroke joinstyle="miter"/>
            <v:imagedata r:id="rId13" o:title="base_23898_28629_7"/>
            <v:formulas/>
            <v:path o:connecttype="segments"/>
          </v:shape>
        </w:pict>
      </w:r>
      <w:r>
        <w:t>, где:</w:t>
      </w:r>
    </w:p>
    <w:p w:rsidR="00067BE1" w:rsidRDefault="00067BE1">
      <w:pPr>
        <w:pStyle w:val="ConsPlusNormal"/>
        <w:jc w:val="both"/>
      </w:pPr>
    </w:p>
    <w:p w:rsidR="00067BE1" w:rsidRDefault="00067BE1">
      <w:pPr>
        <w:pStyle w:val="ConsPlusNormal"/>
        <w:ind w:firstLine="540"/>
        <w:jc w:val="both"/>
      </w:pPr>
      <w:proofErr w:type="spellStart"/>
      <w:r>
        <w:t>Км</w:t>
      </w:r>
      <w:r>
        <w:rPr>
          <w:vertAlign w:val="subscript"/>
        </w:rPr>
        <w:t>i</w:t>
      </w:r>
      <w:proofErr w:type="spellEnd"/>
      <w:r>
        <w:t xml:space="preserve"> - коэффициент содержания территории i-</w:t>
      </w:r>
      <w:proofErr w:type="spellStart"/>
      <w:r>
        <w:t>го</w:t>
      </w:r>
      <w:proofErr w:type="spellEnd"/>
      <w:r>
        <w:t xml:space="preserve"> внутригородского района;</w:t>
      </w:r>
    </w:p>
    <w:p w:rsidR="00067BE1" w:rsidRDefault="00067BE1">
      <w:pPr>
        <w:pStyle w:val="ConsPlusNormal"/>
        <w:spacing w:before="280"/>
        <w:ind w:firstLine="540"/>
        <w:jc w:val="both"/>
      </w:pPr>
      <w:proofErr w:type="spellStart"/>
      <w:r>
        <w:t>g</w:t>
      </w:r>
      <w:r>
        <w:rPr>
          <w:vertAlign w:val="subscript"/>
        </w:rPr>
        <w:t>i</w:t>
      </w:r>
      <w:proofErr w:type="spellEnd"/>
      <w:r>
        <w:t xml:space="preserve"> - площадь убираемой территории i-</w:t>
      </w:r>
      <w:proofErr w:type="spellStart"/>
      <w:r>
        <w:t>го</w:t>
      </w:r>
      <w:proofErr w:type="spellEnd"/>
      <w:r>
        <w:t xml:space="preserve"> внутригородского района;</w:t>
      </w:r>
    </w:p>
    <w:p w:rsidR="00067BE1" w:rsidRDefault="00067BE1">
      <w:pPr>
        <w:pStyle w:val="ConsPlusNormal"/>
        <w:spacing w:before="280"/>
        <w:ind w:firstLine="540"/>
        <w:jc w:val="both"/>
      </w:pPr>
      <w:r>
        <w:t>g - площадь убираемой территории городского округа с внутригородским делением.</w:t>
      </w:r>
    </w:p>
    <w:p w:rsidR="00067BE1" w:rsidRDefault="00067BE1">
      <w:pPr>
        <w:pStyle w:val="ConsPlusNormal"/>
        <w:spacing w:before="280"/>
        <w:ind w:firstLine="540"/>
        <w:jc w:val="both"/>
      </w:pPr>
      <w:r>
        <w:t>Площадь убираемой территории определяется по формуле:</w:t>
      </w:r>
    </w:p>
    <w:p w:rsidR="00067BE1" w:rsidRDefault="00067BE1">
      <w:pPr>
        <w:pStyle w:val="ConsPlusNormal"/>
        <w:jc w:val="both"/>
      </w:pPr>
    </w:p>
    <w:p w:rsidR="00067BE1" w:rsidRDefault="00067BE1">
      <w:pPr>
        <w:pStyle w:val="ConsPlusNormal"/>
        <w:jc w:val="center"/>
      </w:pPr>
      <w:r>
        <w:t xml:space="preserve">g = </w:t>
      </w:r>
      <w:proofErr w:type="spellStart"/>
      <w:r>
        <w:t>ga</w:t>
      </w:r>
      <w:proofErr w:type="spellEnd"/>
      <w:r>
        <w:t xml:space="preserve"> + 0,35 * </w:t>
      </w:r>
      <w:proofErr w:type="spellStart"/>
      <w:r>
        <w:t>gz</w:t>
      </w:r>
      <w:proofErr w:type="spellEnd"/>
      <w:r>
        <w:t>, где:</w:t>
      </w:r>
    </w:p>
    <w:p w:rsidR="00067BE1" w:rsidRDefault="00067BE1">
      <w:pPr>
        <w:pStyle w:val="ConsPlusNormal"/>
        <w:jc w:val="both"/>
      </w:pPr>
    </w:p>
    <w:p w:rsidR="00067BE1" w:rsidRDefault="00067BE1">
      <w:pPr>
        <w:pStyle w:val="ConsPlusNormal"/>
        <w:ind w:firstLine="540"/>
        <w:jc w:val="both"/>
      </w:pPr>
      <w:proofErr w:type="spellStart"/>
      <w:r>
        <w:t>ga</w:t>
      </w:r>
      <w:proofErr w:type="spellEnd"/>
      <w:r>
        <w:t xml:space="preserve"> - площадь убираемой территории с асфальтовым покрытием;</w:t>
      </w:r>
    </w:p>
    <w:p w:rsidR="00067BE1" w:rsidRDefault="00067BE1">
      <w:pPr>
        <w:pStyle w:val="ConsPlusNormal"/>
        <w:spacing w:before="280"/>
        <w:ind w:firstLine="540"/>
        <w:jc w:val="both"/>
      </w:pPr>
      <w:proofErr w:type="spellStart"/>
      <w:r>
        <w:t>gz</w:t>
      </w:r>
      <w:proofErr w:type="spellEnd"/>
      <w:r>
        <w:t xml:space="preserve"> - площадь убираемой зеленой зоны.</w:t>
      </w:r>
    </w:p>
    <w:p w:rsidR="00067BE1" w:rsidRDefault="00067BE1">
      <w:pPr>
        <w:pStyle w:val="ConsPlusNormal"/>
        <w:jc w:val="both"/>
      </w:pPr>
    </w:p>
    <w:p w:rsidR="00067BE1" w:rsidRDefault="00067BE1">
      <w:pPr>
        <w:pStyle w:val="ConsPlusNormal"/>
        <w:jc w:val="both"/>
      </w:pPr>
    </w:p>
    <w:p w:rsidR="00067BE1" w:rsidRDefault="00067B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1D1A" w:rsidRDefault="002E1D1A"/>
    <w:sectPr w:rsidR="002E1D1A" w:rsidSect="00A43BB3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BE1"/>
    <w:rsid w:val="00067BE1"/>
    <w:rsid w:val="002E1D1A"/>
    <w:rsid w:val="005A4F3C"/>
    <w:rsid w:val="00A01AEA"/>
    <w:rsid w:val="00C9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3BAA4-BBCB-45FF-B638-3E02EA00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7BE1"/>
    <w:pPr>
      <w:widowControl w:val="0"/>
      <w:autoSpaceDE w:val="0"/>
      <w:autoSpaceDN w:val="0"/>
      <w:ind w:firstLine="0"/>
      <w:jc w:val="left"/>
    </w:pPr>
    <w:rPr>
      <w:rFonts w:eastAsia="Times New Roman"/>
      <w:color w:val="auto"/>
      <w:szCs w:val="20"/>
      <w:lang w:eastAsia="ru-RU"/>
    </w:rPr>
  </w:style>
  <w:style w:type="paragraph" w:customStyle="1" w:styleId="ConsPlusTitle">
    <w:name w:val="ConsPlusTitle"/>
    <w:rsid w:val="00067BE1"/>
    <w:pPr>
      <w:widowControl w:val="0"/>
      <w:autoSpaceDE w:val="0"/>
      <w:autoSpaceDN w:val="0"/>
      <w:ind w:firstLine="0"/>
      <w:jc w:val="left"/>
    </w:pPr>
    <w:rPr>
      <w:rFonts w:eastAsia="Times New Roman"/>
      <w:b/>
      <w:color w:val="auto"/>
      <w:szCs w:val="20"/>
      <w:lang w:eastAsia="ru-RU"/>
    </w:rPr>
  </w:style>
  <w:style w:type="paragraph" w:customStyle="1" w:styleId="ConsPlusTitlePage">
    <w:name w:val="ConsPlusTitlePage"/>
    <w:rsid w:val="00067BE1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DB834EA5B835667B673F26833CE8A21EB5B4634736D39428A7184E56FE126BvCn0I" TargetMode="External"/><Relationship Id="rId13" Type="http://schemas.openxmlformats.org/officeDocument/2006/relationships/image" Target="media/image4.wmf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DB834EA5B835667B67212B9550B5AB1ABFEE664035D0C270F8431301vFn7I" TargetMode="External"/><Relationship Id="rId12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DB834EA5B835667B67212B9550B5AB1ABCEA6B453DD0C270F8431301vFn7I" TargetMode="External"/><Relationship Id="rId11" Type="http://schemas.openxmlformats.org/officeDocument/2006/relationships/image" Target="media/image2.wmf"/><Relationship Id="rId5" Type="http://schemas.openxmlformats.org/officeDocument/2006/relationships/hyperlink" Target="consultantplus://offline/ref=9ADB834EA5B835667B67212B9550B5AB1ABCEA6B453DD0C270F8431301F7183C87ED1B655A4Bv8nBI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hyperlink" Target="consultantplus://offline/ref=FA9753B56AFA4B90B8B93115A2ACDD08ADFE99511DB36552C58AF2B9E5FD7384B5E312852F33uBn7I" TargetMode="External"/><Relationship Id="rId9" Type="http://schemas.openxmlformats.org/officeDocument/2006/relationships/hyperlink" Target="consultantplus://offline/ref=9ADB834EA5B835667B673F26833CE8A21EB5B4634737DB972AA7184E56FE126BvCn0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1776</Words>
  <Characters>10125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Караченцев</dc:creator>
  <cp:keywords/>
  <dc:description/>
  <cp:lastModifiedBy>Сергей Караченцев</cp:lastModifiedBy>
  <cp:revision>1</cp:revision>
  <dcterms:created xsi:type="dcterms:W3CDTF">2018-02-22T08:39:00Z</dcterms:created>
  <dcterms:modified xsi:type="dcterms:W3CDTF">2018-02-22T08:40:00Z</dcterms:modified>
</cp:coreProperties>
</file>