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E1" w:rsidRDefault="00067BE1">
      <w:pPr>
        <w:pStyle w:val="ConsPlusTitlePage"/>
      </w:pPr>
      <w:bookmarkStart w:id="0" w:name="_GoBack"/>
      <w:bookmarkEnd w:id="0"/>
    </w:p>
    <w:p w:rsidR="00067BE1" w:rsidRDefault="00067B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7BE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67BE1" w:rsidRDefault="00067BE1">
            <w:pPr>
              <w:pStyle w:val="ConsPlusNormal"/>
              <w:outlineLvl w:val="0"/>
            </w:pPr>
            <w:r>
              <w:t>20 июня 2016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67BE1" w:rsidRDefault="00067BE1">
            <w:pPr>
              <w:pStyle w:val="ConsPlusNormal"/>
              <w:jc w:val="right"/>
              <w:outlineLvl w:val="0"/>
            </w:pPr>
            <w:r>
              <w:t>N 46</w:t>
            </w:r>
          </w:p>
        </w:tc>
      </w:tr>
    </w:tbl>
    <w:p w:rsidR="00067BE1" w:rsidRDefault="00067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Title"/>
        <w:jc w:val="center"/>
      </w:pPr>
      <w:r>
        <w:t>РЕСПУБЛИКА ДАГЕСТАН</w:t>
      </w:r>
    </w:p>
    <w:p w:rsidR="00067BE1" w:rsidRDefault="00067BE1">
      <w:pPr>
        <w:pStyle w:val="ConsPlusTitle"/>
        <w:jc w:val="center"/>
      </w:pPr>
    </w:p>
    <w:p w:rsidR="00067BE1" w:rsidRDefault="00067BE1">
      <w:pPr>
        <w:pStyle w:val="ConsPlusTitle"/>
        <w:jc w:val="center"/>
      </w:pPr>
      <w:r>
        <w:t>ЗАКОН</w:t>
      </w:r>
    </w:p>
    <w:p w:rsidR="00067BE1" w:rsidRDefault="00067BE1">
      <w:pPr>
        <w:pStyle w:val="ConsPlusTitle"/>
        <w:jc w:val="center"/>
      </w:pPr>
    </w:p>
    <w:p w:rsidR="00067BE1" w:rsidRDefault="00067BE1">
      <w:pPr>
        <w:pStyle w:val="ConsPlusTitle"/>
        <w:jc w:val="center"/>
      </w:pPr>
      <w:r>
        <w:t>О ПОРЯДКЕ ОПРЕДЕЛЕНИЯ ОБЪЕМОВ ОКРУЖНЫХ ФОНДОВ ФИНАНСОВОЙ</w:t>
      </w:r>
    </w:p>
    <w:p w:rsidR="00067BE1" w:rsidRDefault="00067BE1">
      <w:pPr>
        <w:pStyle w:val="ConsPlusTitle"/>
        <w:jc w:val="center"/>
      </w:pPr>
      <w:r>
        <w:t>ПОДДЕРЖКИ ВНУТРИГОРОДСКИХ РАЙОНОВ И РАСПРЕДЕЛЕНИЯ ДОТАЦИЙ</w:t>
      </w:r>
    </w:p>
    <w:p w:rsidR="00067BE1" w:rsidRDefault="00067BE1">
      <w:pPr>
        <w:pStyle w:val="ConsPlusTitle"/>
        <w:jc w:val="center"/>
      </w:pPr>
      <w:r>
        <w:t>НА ВЫРАВНИВАНИЕ БЮДЖЕТНОЙ ОБЕСПЕЧЕННОСТИ ВНУТРИГОРОДСКИХ</w:t>
      </w:r>
    </w:p>
    <w:p w:rsidR="00067BE1" w:rsidRDefault="00067BE1">
      <w:pPr>
        <w:pStyle w:val="ConsPlusTitle"/>
        <w:jc w:val="center"/>
      </w:pPr>
      <w:r>
        <w:t>РАЙОНОВ ИЗ БЮДЖЕТОВ ГОРОДСКИХ ОКРУГОВ С ВНУТРИГОРОДСКИМ</w:t>
      </w:r>
    </w:p>
    <w:p w:rsidR="00067BE1" w:rsidRDefault="00067BE1">
      <w:pPr>
        <w:pStyle w:val="ConsPlusTitle"/>
        <w:jc w:val="center"/>
      </w:pPr>
      <w:r>
        <w:t>ДЕЛЕНИЕМ РЕСПУБЛИКИ ДАГЕСТАН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right"/>
      </w:pPr>
      <w:r>
        <w:t>Принят Народным Собранием</w:t>
      </w:r>
    </w:p>
    <w:p w:rsidR="00067BE1" w:rsidRDefault="00067BE1">
      <w:pPr>
        <w:pStyle w:val="ConsPlusNormal"/>
        <w:jc w:val="right"/>
      </w:pPr>
      <w:r>
        <w:t>Республики Дагестан</w:t>
      </w:r>
    </w:p>
    <w:p w:rsidR="00067BE1" w:rsidRDefault="00067BE1">
      <w:pPr>
        <w:pStyle w:val="ConsPlusNormal"/>
        <w:jc w:val="right"/>
      </w:pPr>
      <w:r>
        <w:t>9 июня 2016 года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4" w:history="1">
        <w:r>
          <w:rPr>
            <w:color w:val="0000FF"/>
          </w:rPr>
          <w:t>пунктом 2 статьи 142.8</w:t>
        </w:r>
      </w:hyperlink>
      <w:r>
        <w:t xml:space="preserve"> Бюджетного кодекса Российской Федерации устанавливает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Республики Дагестан (далее - городской округ с внутригородским делением).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t>Статья 2. Окружной фонд финансовой поддержки внутригородских районов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>1. Окружной фонд финансовой поддержки внутригородских районов (далее - фонд) образуется в составе бюджета городского округа с внутригородским делением с целью выравнивания уровня бюджетной обеспеченности внутригородских районов по исполнению своих полномочий в решении вопросов местного значения в пределах финансовой помощи, получаемой из республиканского бюджета Республики Дагестан, налоговых и неналоговых доходов бюджета городского округа с внутригородским делением.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2. Объем фонда утверждается решением представительного органа городского округа с внутригородским делением о бюджете городского округа с </w:t>
      </w:r>
      <w:r>
        <w:lastRenderedPageBreak/>
        <w:t>внутригородским делением на очередной финансовый год (очередной финансовый год и плановый период).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3.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(очередной финансовый год и плановый период).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t>Статья 3. Дотации на выравнивание бюджетной обеспеченности внутригородских районов из бюджета городского округа с внутригородским делением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 xml:space="preserve">1. Дотации на выравнивание бюджетной обеспеченности внутригородских районов из бюджета городского округа с внутригородским делением, за исключением дотаций, предоставляемых в порядке, установленном </w:t>
      </w:r>
      <w:hyperlink r:id="rId5" w:history="1">
        <w:r>
          <w:rPr>
            <w:color w:val="0000FF"/>
          </w:rPr>
          <w:t>пунктом 5 статьи 137</w:t>
        </w:r>
      </w:hyperlink>
      <w:r>
        <w:t xml:space="preserve"> Бюджетного кодекса Российской Федерации, предоставляются внутригородским районам,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Расчетная бюджетная обеспеченность внутригородских районов определяется соотношением налоговых доходов на одного жителя, которые могут быть получены бюджетом внутригородского района исходя из налоговой базы (налогового потенциала),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населения, социально-экономических, климатических, географических и иных объективных факторов и условий, влияющих на стоимость предоставления муниципальных услуг в расчете на одного жителя.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(или) показателей прогнозируемых доходов и расходов отдельных внутригородских районов не допускается.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2. Расчет объема и распределение дотаций на выравнивание бюджетной обеспеченности внутригородских районов из бюджета городского округа с внутригородским делением осуществляются в соответствии с </w:t>
      </w:r>
      <w:hyperlink w:anchor="P70" w:history="1">
        <w:r>
          <w:rPr>
            <w:color w:val="0000FF"/>
          </w:rPr>
          <w:t>Методикой</w:t>
        </w:r>
      </w:hyperlink>
      <w:r>
        <w:t xml:space="preserve"> расчета объема и распределения дотаций на выравнивание бюджетной обеспеченности внутригородских районов из бюджета городского округа с внутригородским делением, прилагаемой к настоящему Закону.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lastRenderedPageBreak/>
        <w:t>Статья 4. Особенности расчета дотаций на выравнивание бюджетной обеспеченности внутригородских районов городского округа с внутригородским делением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>В составе дотаций из фонда могут быть выделены дотации, отражающие отдельные факторы и условия, учитываемые при определении уровня расчетной бюджетной обеспеченности внутригородских районов. Объем указанных дотаций не может превышать 10 процентов общего объема финансовой помощи бюджетам внутригородских районов из бюджета городского округа с внутригородским делением.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t>Статья 5. Права органов местного самоуправления городского округа с внутригородским делением при предоставлении дотаций бюджетам внутригородских районов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>1. Дотации из фонда, предусмотренные к перечислению в бюджеты внутригородских районов в соответствии с настоящим Законом и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(очередной финансовый год и плановый период), предоставляются при условии соблюдения внутригородскими районами требований бюджетного и налогового законодательства.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В случае несоблюдения органами местного самоуправления внутригородского района налогового и бюджетного законодательства представительный орган городского округа с внутригородским делением вправе приостанавливать или уменьшать финансирование дотации из фонда, предусмотренное разделом "Межбюджетные трансферты" функциональной классификации расходов бюджетов Российской Федерации.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2. Проверка исполнения бюджетов внутригородских районов, получающих дотации на выравнивание уровня бюджетной обеспеченности из фонда, проводится контрольно-счетным органом городского округа с внутригородским делением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Дагестан от 10 марта 2015 года N 18 "О бюджетном процессе и межбюджетных отношениях в Республике Дагестан" и другими федеральными и республиканскими нормативными правовыми актами.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  <w:outlineLvl w:val="1"/>
      </w:pPr>
      <w:r>
        <w:t>Статья 6. Вступление в силу настоящего Закона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со дня его официального опубликования.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right"/>
      </w:pPr>
      <w:r>
        <w:t>Глава</w:t>
      </w:r>
    </w:p>
    <w:p w:rsidR="00067BE1" w:rsidRDefault="00067BE1">
      <w:pPr>
        <w:pStyle w:val="ConsPlusNormal"/>
        <w:jc w:val="right"/>
      </w:pPr>
      <w:r>
        <w:t>Республики Дагестан</w:t>
      </w:r>
    </w:p>
    <w:p w:rsidR="00067BE1" w:rsidRDefault="00067BE1">
      <w:pPr>
        <w:pStyle w:val="ConsPlusNormal"/>
        <w:jc w:val="right"/>
      </w:pPr>
      <w:r>
        <w:t>Р.АБДУЛАТИПОВ</w:t>
      </w:r>
    </w:p>
    <w:p w:rsidR="00067BE1" w:rsidRDefault="00067BE1">
      <w:pPr>
        <w:pStyle w:val="ConsPlusNormal"/>
      </w:pPr>
      <w:r>
        <w:t>Махачкала</w:t>
      </w:r>
    </w:p>
    <w:p w:rsidR="00067BE1" w:rsidRDefault="00067BE1">
      <w:pPr>
        <w:pStyle w:val="ConsPlusNormal"/>
        <w:spacing w:before="280"/>
      </w:pPr>
      <w:r>
        <w:t>20 июня 2016 года</w:t>
      </w:r>
    </w:p>
    <w:p w:rsidR="00067BE1" w:rsidRDefault="00067BE1">
      <w:pPr>
        <w:pStyle w:val="ConsPlusNormal"/>
        <w:spacing w:before="280"/>
      </w:pPr>
      <w:r>
        <w:t>N 46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right"/>
        <w:outlineLvl w:val="0"/>
      </w:pPr>
      <w:r>
        <w:t>Приложение</w:t>
      </w:r>
    </w:p>
    <w:p w:rsidR="00067BE1" w:rsidRDefault="00067BE1">
      <w:pPr>
        <w:pStyle w:val="ConsPlusNormal"/>
        <w:jc w:val="right"/>
      </w:pPr>
      <w:r>
        <w:t>к Закону Республики Дагестан</w:t>
      </w:r>
    </w:p>
    <w:p w:rsidR="00067BE1" w:rsidRDefault="00067BE1">
      <w:pPr>
        <w:pStyle w:val="ConsPlusNormal"/>
        <w:jc w:val="right"/>
      </w:pPr>
      <w:r>
        <w:t>"О порядке определения объемов окружных</w:t>
      </w:r>
    </w:p>
    <w:p w:rsidR="00067BE1" w:rsidRDefault="00067BE1">
      <w:pPr>
        <w:pStyle w:val="ConsPlusNormal"/>
        <w:jc w:val="right"/>
      </w:pPr>
      <w:r>
        <w:t>фондов финансовой поддержки внутригородских</w:t>
      </w:r>
    </w:p>
    <w:p w:rsidR="00067BE1" w:rsidRDefault="00067BE1">
      <w:pPr>
        <w:pStyle w:val="ConsPlusNormal"/>
        <w:jc w:val="right"/>
      </w:pPr>
      <w:r>
        <w:t>районов и распределения дотаций</w:t>
      </w:r>
    </w:p>
    <w:p w:rsidR="00067BE1" w:rsidRDefault="00067BE1">
      <w:pPr>
        <w:pStyle w:val="ConsPlusNormal"/>
        <w:jc w:val="right"/>
      </w:pPr>
      <w:r>
        <w:t>на выравнивание бюджетной обеспеченности</w:t>
      </w:r>
    </w:p>
    <w:p w:rsidR="00067BE1" w:rsidRDefault="00067BE1">
      <w:pPr>
        <w:pStyle w:val="ConsPlusNormal"/>
        <w:jc w:val="right"/>
      </w:pPr>
      <w:r>
        <w:t>внутригородских районов из бюджетов</w:t>
      </w:r>
    </w:p>
    <w:p w:rsidR="00067BE1" w:rsidRDefault="00067BE1">
      <w:pPr>
        <w:pStyle w:val="ConsPlusNormal"/>
        <w:jc w:val="right"/>
      </w:pPr>
      <w:r>
        <w:t>городских округов с внутригородским</w:t>
      </w:r>
    </w:p>
    <w:p w:rsidR="00067BE1" w:rsidRDefault="00067BE1">
      <w:pPr>
        <w:pStyle w:val="ConsPlusNormal"/>
        <w:jc w:val="right"/>
      </w:pPr>
      <w:r>
        <w:t>делением Республики Дагестан"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Title"/>
        <w:jc w:val="center"/>
      </w:pPr>
      <w:bookmarkStart w:id="1" w:name="P70"/>
      <w:bookmarkEnd w:id="1"/>
      <w:r>
        <w:t>МЕТОДИКА</w:t>
      </w:r>
    </w:p>
    <w:p w:rsidR="00067BE1" w:rsidRDefault="00067BE1">
      <w:pPr>
        <w:pStyle w:val="ConsPlusTitle"/>
        <w:jc w:val="center"/>
      </w:pPr>
      <w:r>
        <w:t>РАСЧЕТА ОБЪЕМА И РАСПРЕДЕЛЕНИЯ ДОТАЦИЙ НА ВЫРАВНИВАНИЕ</w:t>
      </w:r>
    </w:p>
    <w:p w:rsidR="00067BE1" w:rsidRDefault="00067BE1">
      <w:pPr>
        <w:pStyle w:val="ConsPlusTitle"/>
        <w:jc w:val="center"/>
      </w:pPr>
      <w:r>
        <w:t>БЮДЖЕТНОЙ ОБЕСПЕЧЕННОСТИ ВНУТРИГОРОДСКИХ РАЙОНОВ ИЗ БЮДЖЕТА</w:t>
      </w:r>
    </w:p>
    <w:p w:rsidR="00067BE1" w:rsidRDefault="00067BE1">
      <w:pPr>
        <w:pStyle w:val="ConsPlusTitle"/>
        <w:jc w:val="center"/>
      </w:pPr>
      <w:r>
        <w:t>ГОРОДСКОГО ОКРУГА С ВНУТРИГОРОДСКИМ ДЕЛЕНИЕМ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r>
        <w:t>1. Дотации на выравнивание бюджетной обеспеченности внутригородских районов, образующие окружной фонд финансовой поддержки внутригородских районов (далее - дотации), предусматриваются в составе бюджета городского округа с внутригородским делением в целях выравнивания уровня бюджетной обеспеченности внутригородских районов.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2. Объем дотаций определяется исходя из численности жителей, постоянно проживающих на территории внутригородского района, в расчете на одного жителя с учетом </w:t>
      </w:r>
      <w:proofErr w:type="spellStart"/>
      <w:r>
        <w:t>расселенности</w:t>
      </w:r>
      <w:proofErr w:type="spellEnd"/>
      <w:r>
        <w:t>, отдаленности отдельных населенных пунктов, входящих в его состав, и содержания территории внутригородского района. Размер дотаций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r w:rsidRPr="003F3659">
        <w:rPr>
          <w:position w:val="-38"/>
        </w:rPr>
        <w:lastRenderedPageBreak/>
        <w:pict>
          <v:shape id="_x0000_i1025" style="width:121.5pt;height:53.25pt" coordsize="" o:spt="100" adj="0,,0" path="" filled="f" stroked="f">
            <v:stroke joinstyle="miter"/>
            <v:imagedata r:id="rId10" o:title="base_23898_28629_4"/>
            <v:formulas/>
            <v:path o:connecttype="segments"/>
          </v:shape>
        </w:pict>
      </w:r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i</w:t>
      </w:r>
      <w:proofErr w:type="spellEnd"/>
      <w:r>
        <w:t xml:space="preserve"> - размер дотации, определяемой исходя из численности жителей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Д - объем окружного фонда финансовой поддержки внутригородских районов;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t xml:space="preserve"> - численность постоянного населения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- коэффициент учета </w:t>
      </w:r>
      <w:proofErr w:type="spellStart"/>
      <w:r>
        <w:t>расселенности</w:t>
      </w:r>
      <w:proofErr w:type="spellEnd"/>
      <w:r>
        <w:t>, отдаленности отдельных населенных пунктов и содержания территории внутригородского района.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3. Размер коэффициента учета </w:t>
      </w:r>
      <w:proofErr w:type="spellStart"/>
      <w:r>
        <w:t>расселенности</w:t>
      </w:r>
      <w:proofErr w:type="spellEnd"/>
      <w:r>
        <w:t>, отдаленности отдельных населенных пунктов и содержания территории внутригородского района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pi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оi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мi</w:t>
      </w:r>
      <w:proofErr w:type="spellEnd"/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- коэффициент учета </w:t>
      </w:r>
      <w:proofErr w:type="spellStart"/>
      <w:r>
        <w:t>расселенности</w:t>
      </w:r>
      <w:proofErr w:type="spellEnd"/>
      <w:r>
        <w:t>, отдаленности отдельных населенных пунктов и содержания территории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pi</w:t>
      </w:r>
      <w:proofErr w:type="spellEnd"/>
      <w:r>
        <w:t xml:space="preserve"> - коэффициент учета </w:t>
      </w:r>
      <w:proofErr w:type="spellStart"/>
      <w:r>
        <w:t>расселенности</w:t>
      </w:r>
      <w:proofErr w:type="spellEnd"/>
      <w:r>
        <w:t>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оi</w:t>
      </w:r>
      <w:proofErr w:type="spellEnd"/>
      <w:r>
        <w:t xml:space="preserve"> - коэффициент учета отдаленности отдельных населенных пунктов;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мi</w:t>
      </w:r>
      <w:proofErr w:type="spellEnd"/>
      <w:r>
        <w:t xml:space="preserve"> - коэффициент содержания территории внутригородского района.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 xml:space="preserve">4. Размер коэффициента учета </w:t>
      </w:r>
      <w:proofErr w:type="spellStart"/>
      <w:r>
        <w:t>расселенности</w:t>
      </w:r>
      <w:proofErr w:type="spellEnd"/>
      <w:r>
        <w:t xml:space="preserve">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r w:rsidRPr="003F3659">
        <w:rPr>
          <w:position w:val="-56"/>
        </w:rPr>
        <w:pict>
          <v:shape id="_x0000_i1026" style="width:92.25pt;height:91.5pt" coordsize="" o:spt="100" adj="0,,0" path="" filled="f" stroked="f">
            <v:stroke joinstyle="miter"/>
            <v:imagedata r:id="rId11" o:title="base_23898_28629_5"/>
            <v:formulas/>
            <v:path o:connecttype="segments"/>
          </v:shape>
        </w:pict>
      </w:r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pi</w:t>
      </w:r>
      <w:proofErr w:type="spellEnd"/>
      <w:r>
        <w:t xml:space="preserve"> - коэффициент учета </w:t>
      </w:r>
      <w:proofErr w:type="spellStart"/>
      <w:r>
        <w:t>расселенности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iр</w:t>
      </w:r>
      <w:proofErr w:type="spellEnd"/>
      <w:r>
        <w:t xml:space="preserve"> - численность жителей (населения) i-</w:t>
      </w:r>
      <w:proofErr w:type="spellStart"/>
      <w:r>
        <w:t>го</w:t>
      </w:r>
      <w:proofErr w:type="spellEnd"/>
      <w:r>
        <w:t xml:space="preserve"> внутригородского района, проживающих в населенных пунктах с численностью менее 30000 человек, по данным территориального органа Федеральной службы государственной статистики по Республике Дагестан по состоянию на 1 января года, предшествующего очередному финансовому году;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lastRenderedPageBreak/>
        <w:t>Н</w:t>
      </w:r>
      <w:r>
        <w:rPr>
          <w:vertAlign w:val="subscript"/>
        </w:rPr>
        <w:t>i</w:t>
      </w:r>
      <w:proofErr w:type="spellEnd"/>
      <w:r>
        <w:t xml:space="preserve"> - численность жителей (населения) i-</w:t>
      </w:r>
      <w:proofErr w:type="spellStart"/>
      <w:r>
        <w:t>го</w:t>
      </w:r>
      <w:proofErr w:type="spellEnd"/>
      <w:r>
        <w:t xml:space="preserve"> внутригородского района по данным территориального органа Федеральной службы государственной статистики по Республике Дагестан по состоянию на 1 января года, предшествующего очередному финансовому году;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Н</w:t>
      </w:r>
      <w:r>
        <w:rPr>
          <w:vertAlign w:val="subscript"/>
        </w:rPr>
        <w:t>р</w:t>
      </w:r>
      <w:proofErr w:type="spellEnd"/>
      <w:r>
        <w:t xml:space="preserve"> - численность жителей (населения) городского округа с внутригородским делением, проживающих в населенных пунктах с численностью менее 30000 человек по данным территориального органа Федеральной службы государственной статистики по Республике Дагестан по состоянию на 1 января года, предшествующего очередному финансовому году;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Н - численность жителей (населения) городского округа с внутригородским делением по данным территориального органа Федеральной службы государственной статистики по Республике Дагестан по состоянию на 1 января года, предшествующего очередному финансовому году.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5. Размер коэффициента учета отдаленности отдельных населенных пунктов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r w:rsidRPr="003F3659">
        <w:rPr>
          <w:position w:val="-30"/>
        </w:rPr>
        <w:pict>
          <v:shape id="_x0000_i1027" style="width:386.25pt;height:47.25pt" coordsize="" o:spt="100" adj="0,,0" path="" filled="f" stroked="f">
            <v:stroke joinstyle="miter"/>
            <v:imagedata r:id="rId12" o:title="base_23898_28629_6"/>
            <v:formulas/>
            <v:path o:connecttype="segments"/>
          </v:shape>
        </w:pict>
      </w:r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оi</w:t>
      </w:r>
      <w:proofErr w:type="spellEnd"/>
      <w:r>
        <w:t xml:space="preserve"> - коэффициент учета отдаленности отдельных населенных пунктов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КП1</w:t>
      </w:r>
      <w:r>
        <w:rPr>
          <w:vertAlign w:val="subscript"/>
        </w:rPr>
        <w:t>i</w:t>
      </w:r>
      <w:r>
        <w:t xml:space="preserve"> - количество населенных пунктов i-</w:t>
      </w:r>
      <w:proofErr w:type="spellStart"/>
      <w:r>
        <w:t>го</w:t>
      </w:r>
      <w:proofErr w:type="spellEnd"/>
      <w:r>
        <w:t xml:space="preserve"> внутригородского района, расположенных на расстоянии до 5 километров от административного центра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КП2</w:t>
      </w:r>
      <w:r>
        <w:rPr>
          <w:vertAlign w:val="subscript"/>
        </w:rPr>
        <w:t>i</w:t>
      </w:r>
      <w:r>
        <w:t xml:space="preserve"> - количество населенных пунктов i-</w:t>
      </w:r>
      <w:proofErr w:type="spellStart"/>
      <w:r>
        <w:t>го</w:t>
      </w:r>
      <w:proofErr w:type="spellEnd"/>
      <w:r>
        <w:t xml:space="preserve"> внутригородского района, расположенных на расстоянии от 5 до 10 километров от административного центра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КП3</w:t>
      </w:r>
      <w:r>
        <w:rPr>
          <w:vertAlign w:val="subscript"/>
        </w:rPr>
        <w:t>i</w:t>
      </w:r>
      <w:r>
        <w:t xml:space="preserve"> - количество населенных пунктов i-</w:t>
      </w:r>
      <w:proofErr w:type="spellStart"/>
      <w:r>
        <w:t>го</w:t>
      </w:r>
      <w:proofErr w:type="spellEnd"/>
      <w:r>
        <w:t xml:space="preserve"> внутригородского района, расположенных на расстоянии от 10 до 20 километров от административного центра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КП4</w:t>
      </w:r>
      <w:r>
        <w:rPr>
          <w:vertAlign w:val="subscript"/>
        </w:rPr>
        <w:t>i</w:t>
      </w:r>
      <w:r>
        <w:t xml:space="preserve"> - количество населенных пунктов i-</w:t>
      </w:r>
      <w:proofErr w:type="spellStart"/>
      <w:r>
        <w:t>го</w:t>
      </w:r>
      <w:proofErr w:type="spellEnd"/>
      <w:r>
        <w:t xml:space="preserve"> внутригородского района, расположенных на расстоянии более 20 километров от административного центра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КП</w:t>
      </w:r>
      <w:r>
        <w:rPr>
          <w:vertAlign w:val="subscript"/>
        </w:rPr>
        <w:t>i</w:t>
      </w:r>
      <w:proofErr w:type="spellEnd"/>
      <w:r>
        <w:t xml:space="preserve"> - общее количество отдельных населенных пунктов i-</w:t>
      </w:r>
      <w:proofErr w:type="spellStart"/>
      <w:r>
        <w:t>го</w:t>
      </w:r>
      <w:proofErr w:type="spellEnd"/>
      <w:r>
        <w:t xml:space="preserve"> внутригородского района.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6. Размер коэффициента содержания территории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r w:rsidRPr="003F3659">
        <w:rPr>
          <w:position w:val="-28"/>
        </w:rPr>
        <w:pict>
          <v:shape id="_x0000_i1028" style="width:113.25pt;height:46.5pt" coordsize="" o:spt="100" adj="0,,0" path="" filled="f" stroked="f">
            <v:stroke joinstyle="miter"/>
            <v:imagedata r:id="rId13" o:title="base_23898_28629_7"/>
            <v:formulas/>
            <v:path o:connecttype="segments"/>
          </v:shape>
        </w:pict>
      </w:r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Км</w:t>
      </w:r>
      <w:r>
        <w:rPr>
          <w:vertAlign w:val="subscript"/>
        </w:rPr>
        <w:t>i</w:t>
      </w:r>
      <w:proofErr w:type="spellEnd"/>
      <w:r>
        <w:t xml:space="preserve"> - коэффициент содержания территории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g</w:t>
      </w:r>
      <w:r>
        <w:rPr>
          <w:vertAlign w:val="subscript"/>
        </w:rPr>
        <w:t>i</w:t>
      </w:r>
      <w:proofErr w:type="spellEnd"/>
      <w:r>
        <w:t xml:space="preserve"> - площадь убираемой территории i-</w:t>
      </w:r>
      <w:proofErr w:type="spellStart"/>
      <w:r>
        <w:t>го</w:t>
      </w:r>
      <w:proofErr w:type="spellEnd"/>
      <w:r>
        <w:t xml:space="preserve"> внутригородского района;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g - площадь убираемой территории городского округа с внутригородским делением.</w:t>
      </w:r>
    </w:p>
    <w:p w:rsidR="00067BE1" w:rsidRDefault="00067BE1">
      <w:pPr>
        <w:pStyle w:val="ConsPlusNormal"/>
        <w:spacing w:before="280"/>
        <w:ind w:firstLine="540"/>
        <w:jc w:val="both"/>
      </w:pPr>
      <w:r>
        <w:t>Площадь убираемой территории определяется по формуле: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center"/>
      </w:pPr>
      <w:r>
        <w:t xml:space="preserve">g = </w:t>
      </w:r>
      <w:proofErr w:type="spellStart"/>
      <w:r>
        <w:t>ga</w:t>
      </w:r>
      <w:proofErr w:type="spellEnd"/>
      <w:r>
        <w:t xml:space="preserve"> + 0,35 * </w:t>
      </w:r>
      <w:proofErr w:type="spellStart"/>
      <w:r>
        <w:t>gz</w:t>
      </w:r>
      <w:proofErr w:type="spellEnd"/>
      <w:r>
        <w:t>, где: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ind w:firstLine="540"/>
        <w:jc w:val="both"/>
      </w:pPr>
      <w:proofErr w:type="spellStart"/>
      <w:r>
        <w:t>ga</w:t>
      </w:r>
      <w:proofErr w:type="spellEnd"/>
      <w:r>
        <w:t xml:space="preserve"> - площадь убираемой территории с асфальтовым покрытием;</w:t>
      </w:r>
    </w:p>
    <w:p w:rsidR="00067BE1" w:rsidRDefault="00067BE1">
      <w:pPr>
        <w:pStyle w:val="ConsPlusNormal"/>
        <w:spacing w:before="280"/>
        <w:ind w:firstLine="540"/>
        <w:jc w:val="both"/>
      </w:pPr>
      <w:proofErr w:type="spellStart"/>
      <w:r>
        <w:t>gz</w:t>
      </w:r>
      <w:proofErr w:type="spellEnd"/>
      <w:r>
        <w:t xml:space="preserve"> - площадь убираемой зеленой зоны.</w:t>
      </w: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jc w:val="both"/>
      </w:pPr>
    </w:p>
    <w:p w:rsidR="00067BE1" w:rsidRDefault="00067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D1A" w:rsidRDefault="002E1D1A"/>
    <w:sectPr w:rsidR="002E1D1A" w:rsidSect="00A43BB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1"/>
    <w:rsid w:val="00067BE1"/>
    <w:rsid w:val="002E1D1A"/>
    <w:rsid w:val="005A4F3C"/>
    <w:rsid w:val="00A01AEA"/>
    <w:rsid w:val="00C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BAA4-BBCB-45FF-B638-3E02EA0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E1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067BE1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67BE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B834EA5B835667B673F26833CE8A21EB5B4634736D39428A7184E56FE126BvCn0I" TargetMode="Externa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B834EA5B835667B67212B9550B5AB1ABFEE664035D0C270F8431301vFn7I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B834EA5B835667B67212B9550B5AB1ABCEA6B453DD0C270F8431301vFn7I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9ADB834EA5B835667B67212B9550B5AB1ABCEA6B453DD0C270F8431301F7183C87ED1B655A4Bv8nB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FA9753B56AFA4B90B8B93115A2ACDD08ADFE99511DB36552C58AF2B9E5FD7384B5E312852F33uBn7I" TargetMode="External"/><Relationship Id="rId9" Type="http://schemas.openxmlformats.org/officeDocument/2006/relationships/hyperlink" Target="consultantplus://offline/ref=9ADB834EA5B835667B673F26833CE8A21EB5B4634737DB972AA7184E56FE126BvCn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Караченцев</dc:creator>
  <cp:keywords/>
  <dc:description/>
  <cp:lastModifiedBy>Сергей Караченцев</cp:lastModifiedBy>
  <cp:revision>1</cp:revision>
  <dcterms:created xsi:type="dcterms:W3CDTF">2018-02-22T08:39:00Z</dcterms:created>
  <dcterms:modified xsi:type="dcterms:W3CDTF">2018-02-22T08:40:00Z</dcterms:modified>
</cp:coreProperties>
</file>